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321" w:rsidRDefault="008F0D6A" w:rsidP="008F0D6A">
      <w:pPr>
        <w:jc w:val="center"/>
        <w:rPr>
          <w:sz w:val="24"/>
          <w:szCs w:val="24"/>
          <w:lang w:val="mk-MK"/>
        </w:rPr>
      </w:pPr>
      <w:r w:rsidRPr="008F0D6A">
        <w:rPr>
          <w:sz w:val="24"/>
          <w:szCs w:val="24"/>
          <w:lang w:val="mk-MK"/>
        </w:rPr>
        <w:t>Уиверзитетска клиника за физикална медицина и рехабилитација</w:t>
      </w:r>
    </w:p>
    <w:p w:rsidR="008F0D6A" w:rsidRDefault="008F0D6A" w:rsidP="008F0D6A">
      <w:pPr>
        <w:jc w:val="center"/>
        <w:rPr>
          <w:sz w:val="24"/>
          <w:szCs w:val="24"/>
          <w:lang w:val="mk-MK"/>
        </w:rPr>
      </w:pPr>
    </w:p>
    <w:p w:rsidR="008F0D6A" w:rsidRDefault="008F0D6A" w:rsidP="006369FD">
      <w:pPr>
        <w:rPr>
          <w:sz w:val="24"/>
          <w:szCs w:val="24"/>
          <w:lang w:val="mk-MK"/>
        </w:rPr>
      </w:pPr>
    </w:p>
    <w:p w:rsidR="008F0D6A" w:rsidRDefault="008F0D6A" w:rsidP="008F0D6A">
      <w:pPr>
        <w:jc w:val="center"/>
        <w:rPr>
          <w:sz w:val="24"/>
          <w:szCs w:val="24"/>
          <w:lang w:val="mk-MK"/>
        </w:rPr>
      </w:pPr>
    </w:p>
    <w:p w:rsidR="008F0D6A" w:rsidRDefault="008F0D6A" w:rsidP="008F0D6A">
      <w:pPr>
        <w:jc w:val="center"/>
        <w:rPr>
          <w:sz w:val="36"/>
          <w:szCs w:val="36"/>
          <w:lang w:val="mk-MK"/>
        </w:rPr>
      </w:pPr>
      <w:r>
        <w:rPr>
          <w:sz w:val="36"/>
          <w:szCs w:val="36"/>
          <w:lang w:val="mk-MK"/>
        </w:rPr>
        <w:t xml:space="preserve">ПРОТОКОЛ ЗА ПРИМЕНА НА РОБОТСКА </w:t>
      </w:r>
    </w:p>
    <w:p w:rsidR="008F0D6A" w:rsidRDefault="008F0D6A" w:rsidP="008F0D6A">
      <w:pPr>
        <w:jc w:val="center"/>
        <w:rPr>
          <w:sz w:val="36"/>
          <w:szCs w:val="36"/>
          <w:lang w:val="mk-MK"/>
        </w:rPr>
      </w:pPr>
      <w:r>
        <w:rPr>
          <w:sz w:val="36"/>
          <w:szCs w:val="36"/>
          <w:lang w:val="mk-MK"/>
        </w:rPr>
        <w:t>РЕХАБИЛИТАЦИЈА</w:t>
      </w:r>
    </w:p>
    <w:p w:rsidR="008F0D6A" w:rsidRDefault="008F0D6A" w:rsidP="008F0D6A">
      <w:pPr>
        <w:rPr>
          <w:sz w:val="24"/>
          <w:szCs w:val="24"/>
          <w:lang w:val="mk-MK"/>
        </w:rPr>
      </w:pPr>
    </w:p>
    <w:p w:rsidR="008F0D6A" w:rsidRDefault="008F0D6A" w:rsidP="008F0D6A">
      <w:pPr>
        <w:rPr>
          <w:sz w:val="24"/>
          <w:szCs w:val="24"/>
          <w:lang w:val="mk-MK"/>
        </w:rPr>
      </w:pPr>
    </w:p>
    <w:p w:rsidR="008F0D6A" w:rsidRDefault="008F0D6A" w:rsidP="008F0D6A">
      <w:pPr>
        <w:rPr>
          <w:sz w:val="24"/>
          <w:szCs w:val="24"/>
          <w:lang w:val="mk-MK"/>
        </w:rPr>
      </w:pPr>
    </w:p>
    <w:p w:rsidR="008F0D6A" w:rsidRDefault="00A32DC6" w:rsidP="00A32DC6">
      <w:pPr>
        <w:jc w:val="center"/>
        <w:rPr>
          <w:sz w:val="24"/>
          <w:szCs w:val="24"/>
          <w:lang w:val="mk-MK"/>
        </w:rPr>
      </w:pPr>
      <w:r>
        <w:rPr>
          <w:noProof/>
          <w:lang w:val="mk-MK" w:eastAsia="mk-MK"/>
        </w:rPr>
        <w:drawing>
          <wp:inline distT="0" distB="0" distL="0" distR="0">
            <wp:extent cx="4853207" cy="297414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4862862" cy="2980062"/>
                    </a:xfrm>
                    <a:prstGeom prst="rect">
                      <a:avLst/>
                    </a:prstGeom>
                  </pic:spPr>
                </pic:pic>
              </a:graphicData>
            </a:graphic>
          </wp:inline>
        </w:drawing>
      </w:r>
    </w:p>
    <w:p w:rsidR="008F0D6A" w:rsidRDefault="008F0D6A" w:rsidP="008F0D6A">
      <w:pPr>
        <w:jc w:val="center"/>
        <w:rPr>
          <w:sz w:val="24"/>
          <w:szCs w:val="24"/>
          <w:lang w:val="mk-MK"/>
        </w:rPr>
      </w:pPr>
    </w:p>
    <w:p w:rsidR="008F0D6A" w:rsidRDefault="008F0D6A" w:rsidP="008F0D6A">
      <w:pPr>
        <w:jc w:val="center"/>
        <w:rPr>
          <w:sz w:val="24"/>
          <w:szCs w:val="24"/>
          <w:lang w:val="mk-MK"/>
        </w:rPr>
      </w:pPr>
    </w:p>
    <w:p w:rsidR="006369FD" w:rsidRDefault="006369FD" w:rsidP="008F0D6A">
      <w:pPr>
        <w:jc w:val="center"/>
        <w:rPr>
          <w:sz w:val="24"/>
          <w:szCs w:val="24"/>
          <w:lang w:val="mk-MK"/>
        </w:rPr>
      </w:pPr>
    </w:p>
    <w:p w:rsidR="006369FD" w:rsidRDefault="006369FD" w:rsidP="008F0D6A">
      <w:pPr>
        <w:jc w:val="center"/>
        <w:rPr>
          <w:sz w:val="24"/>
          <w:szCs w:val="24"/>
          <w:lang w:val="mk-MK"/>
        </w:rPr>
      </w:pPr>
    </w:p>
    <w:p w:rsidR="006369FD" w:rsidRDefault="006369FD" w:rsidP="008F0D6A">
      <w:pPr>
        <w:jc w:val="center"/>
        <w:rPr>
          <w:sz w:val="24"/>
          <w:szCs w:val="24"/>
          <w:lang w:val="mk-MK"/>
        </w:rPr>
      </w:pPr>
    </w:p>
    <w:p w:rsidR="006369FD" w:rsidRDefault="006369FD" w:rsidP="008F0D6A">
      <w:pPr>
        <w:jc w:val="center"/>
        <w:rPr>
          <w:sz w:val="24"/>
          <w:szCs w:val="24"/>
          <w:lang w:val="mk-MK"/>
        </w:rPr>
      </w:pPr>
    </w:p>
    <w:p w:rsidR="006369FD" w:rsidRDefault="008F0D6A" w:rsidP="006369FD">
      <w:pPr>
        <w:jc w:val="center"/>
        <w:rPr>
          <w:sz w:val="24"/>
          <w:szCs w:val="24"/>
          <w:lang w:val="mk-MK"/>
        </w:rPr>
      </w:pPr>
      <w:r>
        <w:rPr>
          <w:sz w:val="24"/>
          <w:szCs w:val="24"/>
          <w:lang w:val="mk-MK"/>
        </w:rPr>
        <w:t>Скопје, јануари 2024 год.</w:t>
      </w:r>
    </w:p>
    <w:p w:rsidR="008F0D6A" w:rsidRDefault="008F0D6A" w:rsidP="008F0D6A">
      <w:pPr>
        <w:rPr>
          <w:sz w:val="24"/>
          <w:szCs w:val="24"/>
          <w:lang w:val="mk-MK"/>
        </w:rPr>
      </w:pPr>
      <w:r>
        <w:rPr>
          <w:sz w:val="24"/>
          <w:szCs w:val="24"/>
          <w:lang w:val="mk-MK"/>
        </w:rPr>
        <w:lastRenderedPageBreak/>
        <w:t>Вовед</w:t>
      </w:r>
    </w:p>
    <w:p w:rsidR="008F0D6A" w:rsidRDefault="008F0D6A" w:rsidP="008F0D6A">
      <w:pPr>
        <w:jc w:val="both"/>
        <w:rPr>
          <w:lang w:val="mk-MK"/>
        </w:rPr>
      </w:pPr>
      <w:r>
        <w:rPr>
          <w:lang w:val="mk-MK"/>
        </w:rPr>
        <w:t>Роботиката во медицината е наменета за лекување на широк спектар патолошки состојби, од развивање на ендоставни моторни образци, когнитивен тренинг до комплексни активности како што е одењето.</w:t>
      </w:r>
    </w:p>
    <w:p w:rsidR="008F0D6A" w:rsidRDefault="008F0D6A" w:rsidP="008F0D6A">
      <w:pPr>
        <w:jc w:val="both"/>
        <w:rPr>
          <w:lang w:val="mk-MK"/>
        </w:rPr>
      </w:pPr>
      <w:r>
        <w:rPr>
          <w:lang w:val="mk-MK"/>
        </w:rPr>
        <w:t>Роботската рехабилитација е релативно ново подрачје во неурорехабилитацијата</w:t>
      </w:r>
      <w:r w:rsidR="00B57E75">
        <w:rPr>
          <w:lang w:val="mk-MK"/>
        </w:rPr>
        <w:t>, претставува</w:t>
      </w:r>
      <w:r>
        <w:rPr>
          <w:lang w:val="mk-MK"/>
        </w:rPr>
        <w:t xml:space="preserve"> индивидуален облик на рехабилитација на пациенти со користење на софистициран роботски уред. Ло</w:t>
      </w:r>
      <w:r w:rsidR="000D14E4">
        <w:rPr>
          <w:lang w:val="mk-MK"/>
        </w:rPr>
        <w:t>ко</w:t>
      </w:r>
      <w:r>
        <w:rPr>
          <w:lang w:val="mk-MK"/>
        </w:rPr>
        <w:t>матот се состои роботска ортоза за одење и напреден систем за поддршка</w:t>
      </w:r>
      <w:r w:rsidRPr="00761F6B">
        <w:rPr>
          <w:lang w:val="mk-MK"/>
        </w:rPr>
        <w:t xml:space="preserve"> на телесна тежина</w:t>
      </w:r>
      <w:r>
        <w:rPr>
          <w:lang w:val="mk-MK"/>
        </w:rPr>
        <w:t xml:space="preserve"> во комбинација со лента за одење (тредмил лента)</w:t>
      </w:r>
      <w:r w:rsidRPr="00761F6B">
        <w:rPr>
          <w:lang w:val="mk-MK"/>
        </w:rPr>
        <w:t>.</w:t>
      </w:r>
      <w:r>
        <w:rPr>
          <w:lang w:val="mk-MK"/>
        </w:rPr>
        <w:t xml:space="preserve"> Содржи ком</w:t>
      </w:r>
      <w:r w:rsidR="00B57E75">
        <w:rPr>
          <w:lang w:val="mk-MK"/>
        </w:rPr>
        <w:t>п</w:t>
      </w:r>
      <w:r>
        <w:rPr>
          <w:lang w:val="mk-MK"/>
        </w:rPr>
        <w:t>јутерски контролиран монитор за прецизно и синхронизирано подесување на брзината на лен</w:t>
      </w:r>
      <w:r w:rsidR="00B57E75">
        <w:rPr>
          <w:lang w:val="mk-MK"/>
        </w:rPr>
        <w:t>т</w:t>
      </w:r>
      <w:r>
        <w:rPr>
          <w:lang w:val="mk-MK"/>
        </w:rPr>
        <w:t>ата, за подесување на нозете на пациентот по одредени траектории кои имитираат физиолошки модел на одење. Корисничкиот интерфејс му овозможува на терапевтот лесно управување со локоматот и приспособување на параметрите за индивидуалните потреби на пациентите.</w:t>
      </w:r>
    </w:p>
    <w:p w:rsidR="008F0D6A" w:rsidRDefault="008F0D6A" w:rsidP="008F0D6A">
      <w:pPr>
        <w:jc w:val="both"/>
        <w:rPr>
          <w:lang w:val="mk-MK"/>
        </w:rPr>
      </w:pPr>
      <w:r>
        <w:rPr>
          <w:lang w:val="mk-MK"/>
        </w:rPr>
        <w:t>Роботската рехабилитација се комбинира со конвенционалните методи на физикалната терапија и со кинезитерапија и носи одлични резултати во опоравување на пациентите.</w:t>
      </w:r>
    </w:p>
    <w:p w:rsidR="008F0D6A" w:rsidRDefault="008F0D6A" w:rsidP="008F0D6A">
      <w:pPr>
        <w:jc w:val="both"/>
        <w:rPr>
          <w:lang w:val="mk-MK"/>
        </w:rPr>
      </w:pPr>
    </w:p>
    <w:p w:rsidR="006369FD" w:rsidRDefault="006369FD" w:rsidP="008F0D6A">
      <w:pPr>
        <w:jc w:val="both"/>
        <w:rPr>
          <w:lang w:val="mk-MK"/>
        </w:rPr>
      </w:pPr>
    </w:p>
    <w:p w:rsidR="008F0D6A" w:rsidRDefault="00BB4A7C" w:rsidP="008F0D6A">
      <w:pPr>
        <w:jc w:val="both"/>
        <w:rPr>
          <w:lang w:val="mk-MK"/>
        </w:rPr>
      </w:pPr>
      <w:r>
        <w:rPr>
          <w:lang w:val="mk-MK"/>
        </w:rPr>
        <w:t>Индикационо подрачје</w:t>
      </w:r>
    </w:p>
    <w:p w:rsidR="00BB4A7C" w:rsidRDefault="00BB4A7C" w:rsidP="008F0D6A">
      <w:pPr>
        <w:jc w:val="both"/>
      </w:pPr>
      <w:r>
        <w:rPr>
          <w:lang w:val="mk-MK"/>
        </w:rPr>
        <w:t>Локоматот може да се користи за рехабилитација на пациенти со</w:t>
      </w:r>
      <w:r>
        <w:t>:</w:t>
      </w:r>
    </w:p>
    <w:p w:rsidR="00BB4A7C" w:rsidRPr="00BB4A7C" w:rsidRDefault="00D5694C" w:rsidP="00BB4A7C">
      <w:pPr>
        <w:pStyle w:val="ListParagraph"/>
        <w:numPr>
          <w:ilvl w:val="0"/>
          <w:numId w:val="1"/>
        </w:numPr>
        <w:jc w:val="both"/>
        <w:rPr>
          <w:lang w:val="mk-MK"/>
        </w:rPr>
      </w:pPr>
      <w:r>
        <w:rPr>
          <w:lang w:val="mk-MK"/>
        </w:rPr>
        <w:t xml:space="preserve">прележан мозочен удар </w:t>
      </w:r>
      <w:r w:rsidR="00BB4A7C" w:rsidRPr="00BB4A7C">
        <w:rPr>
          <w:lang w:val="mk-MK"/>
        </w:rPr>
        <w:t>исхемичен/хеморагичен)</w:t>
      </w:r>
      <w:r w:rsidR="00F92356">
        <w:rPr>
          <w:rStyle w:val="EndnoteReference"/>
          <w:lang w:val="mk-MK"/>
        </w:rPr>
        <w:endnoteReference w:id="1"/>
      </w:r>
      <w:r w:rsidR="002E1C2B">
        <w:rPr>
          <w:vertAlign w:val="superscript"/>
        </w:rPr>
        <w:t>,</w:t>
      </w:r>
      <w:r w:rsidR="009F7F7F">
        <w:rPr>
          <w:rStyle w:val="EndnoteReference"/>
        </w:rPr>
        <w:endnoteReference w:id="2"/>
      </w:r>
      <w:r w:rsidR="009F7F7F">
        <w:rPr>
          <w:vertAlign w:val="superscript"/>
        </w:rPr>
        <w:t>,</w:t>
      </w:r>
      <w:r w:rsidR="009F7F7F">
        <w:rPr>
          <w:rStyle w:val="EndnoteReference"/>
        </w:rPr>
        <w:endnoteReference w:id="3"/>
      </w:r>
      <w:r w:rsidR="009F7F7F">
        <w:rPr>
          <w:vertAlign w:val="superscript"/>
        </w:rPr>
        <w:t>,</w:t>
      </w:r>
      <w:r w:rsidR="002E1C2B">
        <w:rPr>
          <w:rStyle w:val="EndnoteReference"/>
          <w:lang w:val="mk-MK"/>
        </w:rPr>
        <w:endnoteReference w:id="4"/>
      </w:r>
      <w:r w:rsidR="002E1C2B">
        <w:rPr>
          <w:vertAlign w:val="superscript"/>
        </w:rPr>
        <w:t>,</w:t>
      </w:r>
      <w:r w:rsidR="002E1C2B">
        <w:rPr>
          <w:rStyle w:val="EndnoteReference"/>
        </w:rPr>
        <w:endnoteReference w:id="5"/>
      </w:r>
      <w:r w:rsidR="002E1C2B">
        <w:rPr>
          <w:vertAlign w:val="superscript"/>
        </w:rPr>
        <w:t>,</w:t>
      </w:r>
      <w:r w:rsidR="002E1C2B">
        <w:rPr>
          <w:rStyle w:val="EndnoteReference"/>
        </w:rPr>
        <w:endnoteReference w:id="6"/>
      </w:r>
      <w:r>
        <w:rPr>
          <w:vertAlign w:val="superscript"/>
          <w:lang w:val="mk-MK"/>
        </w:rPr>
        <w:t xml:space="preserve"> </w:t>
      </w:r>
      <w:r>
        <w:rPr>
          <w:lang w:val="mk-MK"/>
        </w:rPr>
        <w:t>(до 1,5 година од мозочниот удар)</w:t>
      </w:r>
    </w:p>
    <w:p w:rsidR="00BB4A7C" w:rsidRPr="00BB4A7C" w:rsidRDefault="00BB4A7C" w:rsidP="00BB4A7C">
      <w:pPr>
        <w:pStyle w:val="ListParagraph"/>
        <w:numPr>
          <w:ilvl w:val="0"/>
          <w:numId w:val="1"/>
        </w:numPr>
        <w:jc w:val="both"/>
        <w:rPr>
          <w:lang w:val="mk-MK"/>
        </w:rPr>
      </w:pPr>
      <w:r w:rsidRPr="00BB4A7C">
        <w:rPr>
          <w:lang w:val="mk-MK"/>
        </w:rPr>
        <w:t>трауматски повреди на мозокот</w:t>
      </w:r>
      <w:r w:rsidR="00F92356">
        <w:rPr>
          <w:rStyle w:val="EndnoteReference"/>
          <w:lang w:val="mk-MK"/>
        </w:rPr>
        <w:endnoteReference w:id="7"/>
      </w:r>
      <w:r w:rsidR="0015683A">
        <w:rPr>
          <w:vertAlign w:val="superscript"/>
        </w:rPr>
        <w:t>,</w:t>
      </w:r>
      <w:r w:rsidR="0015683A">
        <w:rPr>
          <w:rStyle w:val="EndnoteReference"/>
          <w:lang w:val="mk-MK"/>
        </w:rPr>
        <w:endnoteReference w:id="8"/>
      </w:r>
      <w:r w:rsidR="0015683A">
        <w:rPr>
          <w:vertAlign w:val="superscript"/>
        </w:rPr>
        <w:t>,</w:t>
      </w:r>
      <w:r w:rsidR="0015683A">
        <w:rPr>
          <w:rStyle w:val="EndnoteReference"/>
        </w:rPr>
        <w:endnoteReference w:id="9"/>
      </w:r>
      <w:r w:rsidR="00D5694C">
        <w:rPr>
          <w:lang w:val="mk-MK"/>
        </w:rPr>
        <w:t>(параплегии до 2 години)</w:t>
      </w:r>
    </w:p>
    <w:p w:rsidR="00BB4A7C" w:rsidRDefault="00BB4A7C" w:rsidP="00BB4A7C">
      <w:pPr>
        <w:pStyle w:val="ListParagraph"/>
        <w:numPr>
          <w:ilvl w:val="0"/>
          <w:numId w:val="1"/>
        </w:numPr>
        <w:jc w:val="both"/>
        <w:rPr>
          <w:lang w:val="mk-MK"/>
        </w:rPr>
      </w:pPr>
      <w:r>
        <w:rPr>
          <w:lang w:val="mk-MK"/>
        </w:rPr>
        <w:t>повреда на рбетен мозок</w:t>
      </w:r>
      <w:r w:rsidR="009F7F7F">
        <w:rPr>
          <w:rStyle w:val="EndnoteReference"/>
          <w:lang w:val="mk-MK"/>
        </w:rPr>
        <w:endnoteReference w:id="10"/>
      </w:r>
      <w:r w:rsidR="009F7F7F">
        <w:rPr>
          <w:vertAlign w:val="superscript"/>
        </w:rPr>
        <w:t>,</w:t>
      </w:r>
      <w:r w:rsidR="0015683A">
        <w:rPr>
          <w:rStyle w:val="EndnoteReference"/>
          <w:lang w:val="mk-MK"/>
        </w:rPr>
        <w:endnoteReference w:id="11"/>
      </w:r>
      <w:r w:rsidR="0015683A">
        <w:rPr>
          <w:vertAlign w:val="superscript"/>
        </w:rPr>
        <w:t>,</w:t>
      </w:r>
      <w:r w:rsidR="0015683A">
        <w:rPr>
          <w:rStyle w:val="EndnoteReference"/>
        </w:rPr>
        <w:endnoteReference w:id="12"/>
      </w:r>
      <w:r w:rsidR="0015683A">
        <w:rPr>
          <w:vertAlign w:val="superscript"/>
        </w:rPr>
        <w:t>,</w:t>
      </w:r>
      <w:r w:rsidR="0015683A">
        <w:rPr>
          <w:rStyle w:val="EndnoteReference"/>
        </w:rPr>
        <w:endnoteReference w:id="13"/>
      </w:r>
      <w:r w:rsidR="0015683A">
        <w:rPr>
          <w:vertAlign w:val="superscript"/>
        </w:rPr>
        <w:t>,</w:t>
      </w:r>
      <w:r w:rsidR="0015683A">
        <w:rPr>
          <w:rStyle w:val="EndnoteReference"/>
        </w:rPr>
        <w:endnoteReference w:id="14"/>
      </w:r>
      <w:r w:rsidR="0015683A">
        <w:rPr>
          <w:vertAlign w:val="superscript"/>
        </w:rPr>
        <w:t>,</w:t>
      </w:r>
      <w:r w:rsidR="0015683A">
        <w:rPr>
          <w:rStyle w:val="EndnoteReference"/>
        </w:rPr>
        <w:endnoteReference w:id="15"/>
      </w:r>
    </w:p>
    <w:p w:rsidR="00BB4A7C" w:rsidRDefault="00BB4A7C" w:rsidP="00BB4A7C">
      <w:pPr>
        <w:pStyle w:val="ListParagraph"/>
        <w:numPr>
          <w:ilvl w:val="0"/>
          <w:numId w:val="1"/>
        </w:numPr>
        <w:jc w:val="both"/>
        <w:rPr>
          <w:lang w:val="mk-MK"/>
        </w:rPr>
      </w:pPr>
      <w:r>
        <w:rPr>
          <w:lang w:val="mk-MK"/>
        </w:rPr>
        <w:t>Мултипна склероза</w:t>
      </w:r>
      <w:r w:rsidR="00B97105">
        <w:rPr>
          <w:rStyle w:val="EndnoteReference"/>
          <w:lang w:val="mk-MK"/>
        </w:rPr>
        <w:endnoteReference w:id="16"/>
      </w:r>
      <w:r w:rsidR="009F7F7F">
        <w:rPr>
          <w:vertAlign w:val="superscript"/>
        </w:rPr>
        <w:t>,</w:t>
      </w:r>
      <w:r w:rsidR="009F7F7F">
        <w:rPr>
          <w:rStyle w:val="EndnoteReference"/>
        </w:rPr>
        <w:endnoteReference w:id="17"/>
      </w:r>
    </w:p>
    <w:p w:rsidR="00BB4A7C" w:rsidRDefault="00BB4A7C" w:rsidP="00BB4A7C">
      <w:pPr>
        <w:pStyle w:val="ListParagraph"/>
        <w:numPr>
          <w:ilvl w:val="0"/>
          <w:numId w:val="1"/>
        </w:numPr>
        <w:jc w:val="both"/>
        <w:rPr>
          <w:lang w:val="mk-MK"/>
        </w:rPr>
      </w:pPr>
      <w:r>
        <w:rPr>
          <w:lang w:val="mk-MK"/>
        </w:rPr>
        <w:t>Спинална мускулна атрофија</w:t>
      </w:r>
      <w:r w:rsidR="00824A46">
        <w:rPr>
          <w:rStyle w:val="EndnoteReference"/>
          <w:lang w:val="mk-MK"/>
        </w:rPr>
        <w:endnoteReference w:id="18"/>
      </w:r>
    </w:p>
    <w:p w:rsidR="00BB4A7C" w:rsidRPr="000C6562" w:rsidRDefault="00BB4A7C" w:rsidP="00BB4A7C">
      <w:pPr>
        <w:pStyle w:val="ListParagraph"/>
        <w:numPr>
          <w:ilvl w:val="0"/>
          <w:numId w:val="1"/>
        </w:numPr>
        <w:jc w:val="both"/>
        <w:rPr>
          <w:lang w:val="mk-MK"/>
        </w:rPr>
      </w:pPr>
      <w:r>
        <w:rPr>
          <w:lang w:val="mk-MK"/>
        </w:rPr>
        <w:t xml:space="preserve">Отежнато одење поради </w:t>
      </w:r>
      <w:r w:rsidR="009F7F7F">
        <w:rPr>
          <w:lang w:val="mk-MK"/>
        </w:rPr>
        <w:t>полиневрит со слабост на долни ескстремитети (</w:t>
      </w:r>
      <w:r w:rsidR="009F7F7F" w:rsidRPr="009F7F7F">
        <w:rPr>
          <w:lang w:val="mk-MK"/>
        </w:rPr>
        <w:t>синдром на Гилен-Баре (Guillain-Barré) (polyradiculitis</w:t>
      </w:r>
      <w:r w:rsidR="009F7F7F">
        <w:t>)</w:t>
      </w:r>
      <w:r w:rsidR="002E1C2B">
        <w:rPr>
          <w:rStyle w:val="EndnoteReference"/>
          <w:lang w:val="mk-MK"/>
        </w:rPr>
        <w:endnoteReference w:id="19"/>
      </w:r>
      <w:r w:rsidR="002E1C2B">
        <w:rPr>
          <w:vertAlign w:val="superscript"/>
        </w:rPr>
        <w:t>,</w:t>
      </w:r>
      <w:r w:rsidR="002E1C2B">
        <w:rPr>
          <w:rStyle w:val="EndnoteReference"/>
        </w:rPr>
        <w:endnoteReference w:id="20"/>
      </w:r>
    </w:p>
    <w:p w:rsidR="000C6562" w:rsidRPr="000C6562" w:rsidRDefault="000C6562" w:rsidP="00A80F30">
      <w:pPr>
        <w:pStyle w:val="ListParagraph"/>
        <w:jc w:val="both"/>
        <w:rPr>
          <w:lang w:val="mk-MK"/>
        </w:rPr>
      </w:pPr>
    </w:p>
    <w:p w:rsidR="00F37565" w:rsidRDefault="000C6562" w:rsidP="000C6562">
      <w:pPr>
        <w:jc w:val="both"/>
      </w:pPr>
      <w:r>
        <w:rPr>
          <w:lang w:val="mk-MK"/>
        </w:rPr>
        <w:t>Роботската рех</w:t>
      </w:r>
      <w:r w:rsidR="00AE1377">
        <w:rPr>
          <w:lang w:val="mk-MK"/>
        </w:rPr>
        <w:t>абилитација неможе да се примени</w:t>
      </w:r>
      <w:r>
        <w:rPr>
          <w:lang w:val="mk-MK"/>
        </w:rPr>
        <w:t xml:space="preserve"> кај пациенти со</w:t>
      </w:r>
      <w:r>
        <w:t>:</w:t>
      </w:r>
    </w:p>
    <w:p w:rsidR="00A80F30" w:rsidRPr="00B6144C" w:rsidRDefault="00A80F30" w:rsidP="00A80F30">
      <w:pPr>
        <w:pStyle w:val="ListParagraph"/>
        <w:numPr>
          <w:ilvl w:val="0"/>
          <w:numId w:val="2"/>
        </w:numPr>
        <w:jc w:val="both"/>
      </w:pPr>
      <w:r>
        <w:rPr>
          <w:lang w:val="mk-MK"/>
        </w:rPr>
        <w:t>Телесна тежина поголема од 120 кг</w:t>
      </w:r>
    </w:p>
    <w:p w:rsidR="00B6144C" w:rsidRDefault="00B6144C" w:rsidP="00A80F30">
      <w:pPr>
        <w:pStyle w:val="ListParagraph"/>
        <w:numPr>
          <w:ilvl w:val="0"/>
          <w:numId w:val="2"/>
        </w:numPr>
        <w:jc w:val="both"/>
      </w:pPr>
      <w:r>
        <w:rPr>
          <w:lang w:val="mk-MK"/>
        </w:rPr>
        <w:t xml:space="preserve">Телесна висина над </w:t>
      </w:r>
      <w:r w:rsidR="001E16AE">
        <w:t>195 c</w:t>
      </w:r>
      <w:r>
        <w:t>m</w:t>
      </w:r>
    </w:p>
    <w:p w:rsidR="00B6144C" w:rsidRPr="00B6144C" w:rsidRDefault="001E16AE" w:rsidP="00A80F30">
      <w:pPr>
        <w:pStyle w:val="ListParagraph"/>
        <w:numPr>
          <w:ilvl w:val="0"/>
          <w:numId w:val="2"/>
        </w:numPr>
        <w:jc w:val="both"/>
      </w:pPr>
      <w:r>
        <w:rPr>
          <w:lang w:val="mk-MK"/>
        </w:rPr>
        <w:t>Висок степен на о</w:t>
      </w:r>
      <w:r w:rsidR="00B6144C">
        <w:rPr>
          <w:lang w:val="mk-MK"/>
        </w:rPr>
        <w:t>стеопороза</w:t>
      </w:r>
      <w:r>
        <w:rPr>
          <w:lang w:val="mk-MK"/>
        </w:rPr>
        <w:t xml:space="preserve"> одреден со ДЕКСА скен</w:t>
      </w:r>
    </w:p>
    <w:p w:rsidR="00B6144C" w:rsidRPr="00B6144C" w:rsidRDefault="00B6144C" w:rsidP="00A80F30">
      <w:pPr>
        <w:pStyle w:val="ListParagraph"/>
        <w:numPr>
          <w:ilvl w:val="0"/>
          <w:numId w:val="2"/>
        </w:numPr>
        <w:jc w:val="both"/>
      </w:pPr>
      <w:r>
        <w:rPr>
          <w:lang w:val="mk-MK"/>
        </w:rPr>
        <w:t>Неправилно зараснтати фрактури</w:t>
      </w:r>
    </w:p>
    <w:p w:rsidR="00B6144C" w:rsidRPr="00B6144C" w:rsidRDefault="00B6144C" w:rsidP="00A80F30">
      <w:pPr>
        <w:pStyle w:val="ListParagraph"/>
        <w:numPr>
          <w:ilvl w:val="0"/>
          <w:numId w:val="2"/>
        </w:numPr>
        <w:jc w:val="both"/>
      </w:pPr>
      <w:r>
        <w:rPr>
          <w:lang w:val="mk-MK"/>
        </w:rPr>
        <w:t>Остеомиелитис</w:t>
      </w:r>
    </w:p>
    <w:p w:rsidR="00B6144C" w:rsidRPr="00B6144C" w:rsidRDefault="00B6144C" w:rsidP="00A80F30">
      <w:pPr>
        <w:pStyle w:val="ListParagraph"/>
        <w:numPr>
          <w:ilvl w:val="0"/>
          <w:numId w:val="2"/>
        </w:numPr>
        <w:jc w:val="both"/>
      </w:pPr>
      <w:r>
        <w:rPr>
          <w:lang w:val="mk-MK"/>
        </w:rPr>
        <w:t>Бременост</w:t>
      </w:r>
    </w:p>
    <w:p w:rsidR="00B6144C" w:rsidRPr="00B6144C" w:rsidRDefault="00B6144C" w:rsidP="00A80F30">
      <w:pPr>
        <w:pStyle w:val="ListParagraph"/>
        <w:numPr>
          <w:ilvl w:val="0"/>
          <w:numId w:val="2"/>
        </w:numPr>
        <w:jc w:val="both"/>
      </w:pPr>
      <w:r>
        <w:rPr>
          <w:lang w:val="mk-MK"/>
        </w:rPr>
        <w:t>Присутна колостома</w:t>
      </w:r>
    </w:p>
    <w:p w:rsidR="00B6144C" w:rsidRPr="00B6144C" w:rsidRDefault="00B6144C" w:rsidP="00A80F30">
      <w:pPr>
        <w:pStyle w:val="ListParagraph"/>
        <w:numPr>
          <w:ilvl w:val="0"/>
          <w:numId w:val="2"/>
        </w:numPr>
        <w:jc w:val="both"/>
      </w:pPr>
      <w:r>
        <w:rPr>
          <w:lang w:val="mk-MK"/>
        </w:rPr>
        <w:t>Различна должина на долни екстремитети</w:t>
      </w:r>
    </w:p>
    <w:p w:rsidR="00B6144C" w:rsidRPr="00457CA1" w:rsidRDefault="001E16AE" w:rsidP="00A80F30">
      <w:pPr>
        <w:pStyle w:val="ListParagraph"/>
        <w:numPr>
          <w:ilvl w:val="0"/>
          <w:numId w:val="2"/>
        </w:numPr>
        <w:jc w:val="both"/>
      </w:pPr>
      <w:r>
        <w:rPr>
          <w:lang w:val="mk-MK"/>
        </w:rPr>
        <w:t>Изразен</w:t>
      </w:r>
      <w:r w:rsidR="00B6144C">
        <w:rPr>
          <w:lang w:val="mk-MK"/>
        </w:rPr>
        <w:t xml:space="preserve"> спастицитет</w:t>
      </w:r>
    </w:p>
    <w:p w:rsidR="00A80F30" w:rsidRPr="00A80F30" w:rsidRDefault="00A80F30" w:rsidP="00A80F30">
      <w:pPr>
        <w:pStyle w:val="ListParagraph"/>
        <w:numPr>
          <w:ilvl w:val="0"/>
          <w:numId w:val="2"/>
        </w:numPr>
        <w:jc w:val="both"/>
      </w:pPr>
      <w:r>
        <w:rPr>
          <w:lang w:val="mk-MK"/>
        </w:rPr>
        <w:t>Контрактури во зглобовите на долниот екстремитет</w:t>
      </w:r>
      <w:r w:rsidR="001E16AE">
        <w:rPr>
          <w:lang w:val="mk-MK"/>
        </w:rPr>
        <w:t xml:space="preserve"> кои не се совладуваат</w:t>
      </w:r>
    </w:p>
    <w:p w:rsidR="00B6144C" w:rsidRPr="00A80F30" w:rsidRDefault="00A80F30" w:rsidP="00457CA1">
      <w:pPr>
        <w:pStyle w:val="ListParagraph"/>
        <w:numPr>
          <w:ilvl w:val="0"/>
          <w:numId w:val="2"/>
        </w:numPr>
        <w:jc w:val="both"/>
      </w:pPr>
      <w:r>
        <w:rPr>
          <w:lang w:val="mk-MK"/>
        </w:rPr>
        <w:t>Тешки васкуларни нарушувања на долните екстремитети</w:t>
      </w:r>
      <w:r w:rsidR="002954A8">
        <w:rPr>
          <w:lang w:val="mk-MK"/>
        </w:rPr>
        <w:t>, акутен тромбофлебит</w:t>
      </w:r>
    </w:p>
    <w:p w:rsidR="00A80F30" w:rsidRPr="00A80F30" w:rsidRDefault="00A80F30" w:rsidP="00A80F30">
      <w:pPr>
        <w:pStyle w:val="ListParagraph"/>
        <w:numPr>
          <w:ilvl w:val="0"/>
          <w:numId w:val="2"/>
        </w:numPr>
        <w:jc w:val="both"/>
      </w:pPr>
      <w:r>
        <w:rPr>
          <w:lang w:val="mk-MK"/>
        </w:rPr>
        <w:lastRenderedPageBreak/>
        <w:t>Имаат отворени рани и кожни лезии на нозете и трупот</w:t>
      </w:r>
    </w:p>
    <w:p w:rsidR="00A80F30" w:rsidRPr="006E0C9B" w:rsidRDefault="00A80F30" w:rsidP="00A80F30">
      <w:pPr>
        <w:pStyle w:val="ListParagraph"/>
        <w:numPr>
          <w:ilvl w:val="0"/>
          <w:numId w:val="2"/>
        </w:numPr>
        <w:jc w:val="both"/>
        <w:rPr>
          <w:lang w:val="mk-MK"/>
        </w:rPr>
      </w:pPr>
      <w:r>
        <w:rPr>
          <w:lang w:val="mk-MK"/>
        </w:rPr>
        <w:t>Пациенти на механичка вентилација</w:t>
      </w:r>
    </w:p>
    <w:p w:rsidR="006E0C9B" w:rsidRDefault="006E0C9B" w:rsidP="00A80F30">
      <w:pPr>
        <w:pStyle w:val="ListParagraph"/>
        <w:numPr>
          <w:ilvl w:val="0"/>
          <w:numId w:val="2"/>
        </w:numPr>
        <w:jc w:val="both"/>
        <w:rPr>
          <w:lang w:val="mk-MK"/>
        </w:rPr>
      </w:pPr>
      <w:r>
        <w:rPr>
          <w:lang w:val="mk-MK"/>
        </w:rPr>
        <w:t>Трахеостома</w:t>
      </w:r>
    </w:p>
    <w:p w:rsidR="00A80F30" w:rsidRDefault="00A80F30" w:rsidP="00A80F30">
      <w:pPr>
        <w:pStyle w:val="ListParagraph"/>
        <w:numPr>
          <w:ilvl w:val="0"/>
          <w:numId w:val="2"/>
        </w:numPr>
        <w:jc w:val="both"/>
        <w:rPr>
          <w:lang w:val="mk-MK"/>
        </w:rPr>
      </w:pPr>
      <w:r>
        <w:rPr>
          <w:lang w:val="mk-MK"/>
        </w:rPr>
        <w:t>Пациен</w:t>
      </w:r>
      <w:r w:rsidR="00AE1377">
        <w:rPr>
          <w:lang w:val="mk-MK"/>
        </w:rPr>
        <w:t>ти кои неможат</w:t>
      </w:r>
      <w:r w:rsidR="00EF1334">
        <w:rPr>
          <w:lang w:val="mk-MK"/>
        </w:rPr>
        <w:t xml:space="preserve"> да толерира</w:t>
      </w:r>
      <w:r w:rsidR="00AE1377">
        <w:rPr>
          <w:lang w:val="mk-MK"/>
        </w:rPr>
        <w:t>ат</w:t>
      </w:r>
      <w:r w:rsidR="00EF1334">
        <w:rPr>
          <w:lang w:val="mk-MK"/>
        </w:rPr>
        <w:t xml:space="preserve"> 30 минутна</w:t>
      </w:r>
      <w:r>
        <w:rPr>
          <w:lang w:val="mk-MK"/>
        </w:rPr>
        <w:t xml:space="preserve"> асистирана вертикализација </w:t>
      </w:r>
    </w:p>
    <w:p w:rsidR="00B6144C" w:rsidRDefault="00B6144C" w:rsidP="00A80F30">
      <w:pPr>
        <w:pStyle w:val="ListParagraph"/>
        <w:numPr>
          <w:ilvl w:val="0"/>
          <w:numId w:val="2"/>
        </w:numPr>
        <w:jc w:val="both"/>
        <w:rPr>
          <w:lang w:val="mk-MK"/>
        </w:rPr>
      </w:pPr>
      <w:r>
        <w:rPr>
          <w:lang w:val="mk-MK"/>
        </w:rPr>
        <w:t>Епилепсија</w:t>
      </w:r>
    </w:p>
    <w:p w:rsidR="00B6144C" w:rsidRDefault="00B6144C" w:rsidP="00A80F30">
      <w:pPr>
        <w:pStyle w:val="ListParagraph"/>
        <w:numPr>
          <w:ilvl w:val="0"/>
          <w:numId w:val="2"/>
        </w:numPr>
        <w:jc w:val="both"/>
        <w:rPr>
          <w:lang w:val="mk-MK"/>
        </w:rPr>
      </w:pPr>
      <w:r>
        <w:rPr>
          <w:lang w:val="mk-MK"/>
        </w:rPr>
        <w:t>Срцева инсуфициенција</w:t>
      </w:r>
    </w:p>
    <w:p w:rsidR="002954A8" w:rsidRDefault="002954A8" w:rsidP="00A80F30">
      <w:pPr>
        <w:pStyle w:val="ListParagraph"/>
        <w:numPr>
          <w:ilvl w:val="0"/>
          <w:numId w:val="2"/>
        </w:numPr>
        <w:jc w:val="both"/>
        <w:rPr>
          <w:lang w:val="mk-MK"/>
        </w:rPr>
      </w:pPr>
      <w:r>
        <w:rPr>
          <w:lang w:val="mk-MK"/>
        </w:rPr>
        <w:t>Изразена нерегулирана артериска хипертензија</w:t>
      </w:r>
    </w:p>
    <w:p w:rsidR="002954A8" w:rsidRPr="009D4761" w:rsidRDefault="00B6144C" w:rsidP="009D4761">
      <w:pPr>
        <w:pStyle w:val="ListParagraph"/>
        <w:numPr>
          <w:ilvl w:val="0"/>
          <w:numId w:val="2"/>
        </w:numPr>
        <w:jc w:val="both"/>
        <w:rPr>
          <w:lang w:val="mk-MK"/>
        </w:rPr>
      </w:pPr>
      <w:r>
        <w:rPr>
          <w:lang w:val="mk-MK"/>
        </w:rPr>
        <w:t xml:space="preserve">Имплантиран </w:t>
      </w:r>
      <w:r w:rsidR="00AE1377">
        <w:rPr>
          <w:lang w:val="mk-MK"/>
        </w:rPr>
        <w:t>пејсмејкер, вградена баклоф</w:t>
      </w:r>
      <w:r>
        <w:rPr>
          <w:lang w:val="mk-MK"/>
        </w:rPr>
        <w:t>енска или итратекална пумпа</w:t>
      </w:r>
    </w:p>
    <w:p w:rsidR="00750C30" w:rsidRDefault="00750C30" w:rsidP="00A80F30">
      <w:pPr>
        <w:pStyle w:val="ListParagraph"/>
        <w:numPr>
          <w:ilvl w:val="0"/>
          <w:numId w:val="2"/>
        </w:numPr>
        <w:jc w:val="both"/>
        <w:rPr>
          <w:lang w:val="mk-MK"/>
        </w:rPr>
      </w:pPr>
      <w:r>
        <w:rPr>
          <w:lang w:val="mk-MK"/>
        </w:rPr>
        <w:t xml:space="preserve">Нарушена </w:t>
      </w:r>
      <w:r w:rsidR="000F5DDA">
        <w:rPr>
          <w:lang w:val="mk-MK"/>
        </w:rPr>
        <w:t>когнитивна фун</w:t>
      </w:r>
      <w:r>
        <w:rPr>
          <w:lang w:val="mk-MK"/>
        </w:rPr>
        <w:t>кција</w:t>
      </w:r>
      <w:r w:rsidR="000F5DDA">
        <w:rPr>
          <w:lang w:val="mk-MK"/>
        </w:rPr>
        <w:t xml:space="preserve">, </w:t>
      </w:r>
      <w:r w:rsidR="006D3023">
        <w:rPr>
          <w:lang w:val="mk-MK"/>
        </w:rPr>
        <w:t xml:space="preserve">конфузни, </w:t>
      </w:r>
      <w:r w:rsidR="000F5DDA">
        <w:rPr>
          <w:lang w:val="mk-MK"/>
        </w:rPr>
        <w:t>сомнолентни пациенти, пациенти</w:t>
      </w:r>
      <w:r w:rsidR="00430D73">
        <w:rPr>
          <w:lang w:val="mk-MK"/>
        </w:rPr>
        <w:t xml:space="preserve"> со кои неможе да се соработува, сензомоторна афазија/дисфазија</w:t>
      </w:r>
    </w:p>
    <w:p w:rsidR="00745470" w:rsidRDefault="00745470" w:rsidP="00A80F30">
      <w:pPr>
        <w:pStyle w:val="ListParagraph"/>
        <w:numPr>
          <w:ilvl w:val="0"/>
          <w:numId w:val="2"/>
        </w:numPr>
        <w:jc w:val="both"/>
        <w:rPr>
          <w:lang w:val="mk-MK"/>
        </w:rPr>
      </w:pPr>
      <w:r>
        <w:rPr>
          <w:lang w:val="mk-MK"/>
        </w:rPr>
        <w:t>Акутни воспалителни процеси</w:t>
      </w:r>
    </w:p>
    <w:p w:rsidR="002954A8" w:rsidRDefault="002954A8" w:rsidP="00A80F30">
      <w:pPr>
        <w:pStyle w:val="ListParagraph"/>
        <w:numPr>
          <w:ilvl w:val="0"/>
          <w:numId w:val="2"/>
        </w:numPr>
        <w:jc w:val="both"/>
        <w:rPr>
          <w:lang w:val="mk-MK"/>
        </w:rPr>
      </w:pPr>
      <w:r>
        <w:rPr>
          <w:lang w:val="mk-MK"/>
        </w:rPr>
        <w:t>Фебрилни состојби</w:t>
      </w:r>
    </w:p>
    <w:p w:rsidR="001E16AE" w:rsidRDefault="001E16AE" w:rsidP="009D4761">
      <w:pPr>
        <w:pStyle w:val="ListParagraph"/>
        <w:jc w:val="both"/>
        <w:rPr>
          <w:lang w:val="mk-MK"/>
        </w:rPr>
      </w:pPr>
    </w:p>
    <w:p w:rsidR="002954A8" w:rsidRDefault="002954A8" w:rsidP="000F5DDA">
      <w:pPr>
        <w:pStyle w:val="ListParagraph"/>
        <w:jc w:val="both"/>
        <w:rPr>
          <w:lang w:val="mk-MK"/>
        </w:rPr>
      </w:pPr>
    </w:p>
    <w:p w:rsidR="00EB58EF" w:rsidRDefault="00EB58EF" w:rsidP="00EB58EF">
      <w:pPr>
        <w:jc w:val="both"/>
        <w:rPr>
          <w:lang w:val="mk-MK"/>
        </w:rPr>
      </w:pPr>
      <w:r>
        <w:rPr>
          <w:lang w:val="mk-MK"/>
        </w:rPr>
        <w:t>За примена на роботска рехабилитација, пациентот треба да биде упате</w:t>
      </w:r>
      <w:r w:rsidR="008D424F">
        <w:rPr>
          <w:lang w:val="mk-MK"/>
        </w:rPr>
        <w:t>н од лекар, а проценката и одобрувањето го врши специјалист по физикална медицина и рехабилитација.</w:t>
      </w:r>
    </w:p>
    <w:p w:rsidR="00EC525F" w:rsidRDefault="00EC525F" w:rsidP="00EB58EF">
      <w:pPr>
        <w:jc w:val="both"/>
        <w:rPr>
          <w:lang w:val="mk-MK"/>
        </w:rPr>
      </w:pPr>
      <w:r>
        <w:rPr>
          <w:lang w:val="mk-MK"/>
        </w:rPr>
        <w:t>Одлуката дали пациентот е погоден за лекување секогаш е во надлежност на одговорниот лекар кој има медицинска одг</w:t>
      </w:r>
      <w:r w:rsidR="00676761">
        <w:rPr>
          <w:lang w:val="mk-MK"/>
        </w:rPr>
        <w:t>о</w:t>
      </w:r>
      <w:r>
        <w:rPr>
          <w:lang w:val="mk-MK"/>
        </w:rPr>
        <w:t>ворност за лекувањето. Лекарот врши проценка за можните ризици и несаканите ефекти од третманот</w:t>
      </w:r>
      <w:r w:rsidR="0074375A">
        <w:rPr>
          <w:lang w:val="mk-MK"/>
        </w:rPr>
        <w:t>. П</w:t>
      </w:r>
      <w:r>
        <w:rPr>
          <w:lang w:val="mk-MK"/>
        </w:rPr>
        <w:t>отребна е индивиду</w:t>
      </w:r>
      <w:r w:rsidR="0074375A">
        <w:rPr>
          <w:lang w:val="mk-MK"/>
        </w:rPr>
        <w:t>ална проценка на ризикот за одредени групи на пациенти. Кај пациенти кои не биле подвижни подолг временски период, се започнува со кратки тренинзи, користејќи високо ниво на поддршка на телесна тежина.</w:t>
      </w:r>
    </w:p>
    <w:p w:rsidR="0074375A" w:rsidRPr="00EB58EF" w:rsidRDefault="0074375A" w:rsidP="00EB58EF">
      <w:pPr>
        <w:jc w:val="both"/>
        <w:rPr>
          <w:lang w:val="mk-MK"/>
        </w:rPr>
      </w:pPr>
      <w:r>
        <w:rPr>
          <w:lang w:val="mk-MK"/>
        </w:rPr>
        <w:t>Задачите на физиотерапевтите е да го постават пациентот на Локоматот, да ги приспособат тренинзите и текот на терапијата на способностите на пациентот.</w:t>
      </w:r>
    </w:p>
    <w:p w:rsidR="00A80F30" w:rsidRDefault="00A80F30" w:rsidP="00A80F30">
      <w:pPr>
        <w:pStyle w:val="ListParagraph"/>
        <w:jc w:val="both"/>
      </w:pPr>
    </w:p>
    <w:p w:rsidR="000C6562" w:rsidRPr="000C6562" w:rsidRDefault="000C6562" w:rsidP="000C6562">
      <w:pPr>
        <w:jc w:val="both"/>
      </w:pPr>
    </w:p>
    <w:p w:rsidR="000C6562" w:rsidRDefault="000C6562" w:rsidP="000C6562">
      <w:pPr>
        <w:pStyle w:val="ListParagraph"/>
        <w:jc w:val="both"/>
        <w:rPr>
          <w:vertAlign w:val="superscript"/>
        </w:rPr>
      </w:pPr>
    </w:p>
    <w:p w:rsidR="008F0D6A" w:rsidRPr="000C6562" w:rsidRDefault="008F0D6A" w:rsidP="008F0D6A">
      <w:pPr>
        <w:rPr>
          <w:sz w:val="24"/>
          <w:szCs w:val="24"/>
        </w:rPr>
      </w:pPr>
    </w:p>
    <w:sectPr w:rsidR="008F0D6A" w:rsidRPr="000C6562" w:rsidSect="00A8224D">
      <w:endnotePr>
        <w:numFmt w:val="decimal"/>
      </w:end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2F2" w:rsidRDefault="00C412F2" w:rsidP="00F92356">
      <w:pPr>
        <w:spacing w:after="0" w:line="240" w:lineRule="auto"/>
      </w:pPr>
      <w:r>
        <w:separator/>
      </w:r>
    </w:p>
  </w:endnote>
  <w:endnote w:type="continuationSeparator" w:id="0">
    <w:p w:rsidR="00C412F2" w:rsidRDefault="00C412F2" w:rsidP="00F92356">
      <w:pPr>
        <w:spacing w:after="0" w:line="240" w:lineRule="auto"/>
      </w:pPr>
      <w:r>
        <w:continuationSeparator/>
      </w:r>
    </w:p>
  </w:endnote>
  <w:endnote w:id="1">
    <w:p w:rsidR="00F92356" w:rsidRPr="00592D10" w:rsidRDefault="00F92356">
      <w:pPr>
        <w:pStyle w:val="EndnoteText"/>
        <w:rPr>
          <w:rFonts w:cstheme="minorHAnsi"/>
          <w:sz w:val="22"/>
          <w:szCs w:val="22"/>
        </w:rPr>
      </w:pPr>
      <w:r>
        <w:rPr>
          <w:rStyle w:val="EndnoteReference"/>
        </w:rPr>
        <w:endnoteRef/>
      </w:r>
      <w:r w:rsidRPr="00592D10">
        <w:rPr>
          <w:rFonts w:cstheme="minorHAnsi"/>
          <w:color w:val="222222"/>
          <w:sz w:val="22"/>
          <w:szCs w:val="22"/>
          <w:shd w:val="clear" w:color="auto" w:fill="FFFFFF"/>
        </w:rPr>
        <w:t>Weber, L.M.; Stein, J. The use of robots in stroke rehabilitation: A narrative review. </w:t>
      </w:r>
      <w:r w:rsidRPr="00592D10">
        <w:rPr>
          <w:rStyle w:val="html-italic"/>
          <w:rFonts w:cstheme="minorHAnsi"/>
          <w:i/>
          <w:iCs/>
          <w:color w:val="222222"/>
          <w:sz w:val="22"/>
          <w:szCs w:val="22"/>
          <w:shd w:val="clear" w:color="auto" w:fill="FFFFFF"/>
        </w:rPr>
        <w:t>Neurorehabilitation</w:t>
      </w:r>
      <w:r w:rsidRPr="00592D10">
        <w:rPr>
          <w:rFonts w:cstheme="minorHAnsi"/>
          <w:color w:val="222222"/>
          <w:sz w:val="22"/>
          <w:szCs w:val="22"/>
          <w:shd w:val="clear" w:color="auto" w:fill="FFFFFF"/>
        </w:rPr>
        <w:t> </w:t>
      </w:r>
      <w:r w:rsidRPr="00592D10">
        <w:rPr>
          <w:rFonts w:cstheme="minorHAnsi"/>
          <w:b/>
          <w:bCs/>
          <w:color w:val="222222"/>
          <w:sz w:val="22"/>
          <w:szCs w:val="22"/>
          <w:shd w:val="clear" w:color="auto" w:fill="FFFFFF"/>
        </w:rPr>
        <w:t>2018</w:t>
      </w:r>
      <w:r w:rsidRPr="00592D10">
        <w:rPr>
          <w:rFonts w:cstheme="minorHAnsi"/>
          <w:color w:val="222222"/>
          <w:sz w:val="22"/>
          <w:szCs w:val="22"/>
          <w:shd w:val="clear" w:color="auto" w:fill="FFFFFF"/>
        </w:rPr>
        <w:t>, </w:t>
      </w:r>
      <w:r w:rsidRPr="00592D10">
        <w:rPr>
          <w:rStyle w:val="html-italic"/>
          <w:rFonts w:cstheme="minorHAnsi"/>
          <w:i/>
          <w:iCs/>
          <w:color w:val="222222"/>
          <w:sz w:val="22"/>
          <w:szCs w:val="22"/>
          <w:shd w:val="clear" w:color="auto" w:fill="FFFFFF"/>
        </w:rPr>
        <w:t>43</w:t>
      </w:r>
      <w:r w:rsidRPr="00592D10">
        <w:rPr>
          <w:rFonts w:cstheme="minorHAnsi"/>
          <w:color w:val="222222"/>
          <w:sz w:val="22"/>
          <w:szCs w:val="22"/>
          <w:shd w:val="clear" w:color="auto" w:fill="FFFFFF"/>
        </w:rPr>
        <w:t>, 99–110.</w:t>
      </w:r>
    </w:p>
  </w:endnote>
  <w:endnote w:id="2">
    <w:p w:rsidR="009F7F7F" w:rsidRPr="00592D10" w:rsidRDefault="009F7F7F">
      <w:pPr>
        <w:pStyle w:val="EndnoteText"/>
        <w:rPr>
          <w:rFonts w:cstheme="minorHAnsi"/>
          <w:sz w:val="22"/>
          <w:szCs w:val="22"/>
        </w:rPr>
      </w:pPr>
      <w:r w:rsidRPr="00592D10">
        <w:rPr>
          <w:rStyle w:val="EndnoteReference"/>
          <w:rFonts w:cstheme="minorHAnsi"/>
          <w:sz w:val="22"/>
          <w:szCs w:val="22"/>
        </w:rPr>
        <w:endnoteRef/>
      </w:r>
      <w:r w:rsidRPr="00592D10">
        <w:rPr>
          <w:rFonts w:cstheme="minorHAnsi"/>
          <w:sz w:val="22"/>
          <w:szCs w:val="22"/>
        </w:rPr>
        <w:t xml:space="preserve"> Chang, W.H., et al., Effects of robot-assisted gait training on cardiopulmonary fitness in subacute stroke patients: a randomized controlled study. Neurorehabil Neural Repair, 2012. 26(4): p. 318-24.</w:t>
      </w:r>
    </w:p>
  </w:endnote>
  <w:endnote w:id="3">
    <w:p w:rsidR="009F7F7F" w:rsidRPr="00592D10" w:rsidRDefault="009F7F7F">
      <w:pPr>
        <w:pStyle w:val="EndnoteText"/>
        <w:rPr>
          <w:rFonts w:cstheme="minorHAnsi"/>
          <w:sz w:val="22"/>
          <w:szCs w:val="22"/>
        </w:rPr>
      </w:pPr>
      <w:r w:rsidRPr="00592D10">
        <w:rPr>
          <w:rStyle w:val="EndnoteReference"/>
          <w:rFonts w:cstheme="minorHAnsi"/>
          <w:sz w:val="22"/>
          <w:szCs w:val="22"/>
        </w:rPr>
        <w:endnoteRef/>
      </w:r>
      <w:r w:rsidRPr="00592D10">
        <w:rPr>
          <w:rFonts w:cstheme="minorHAnsi"/>
          <w:sz w:val="22"/>
          <w:szCs w:val="22"/>
        </w:rPr>
        <w:t>Husemann, B., et al., Effects of Locomotion Training with Assistance of a Robot-Driven Gait Orthosis in Hemiparetic Patients after Stroke: A Randomized Contr</w:t>
      </w:r>
      <w:r w:rsidR="00865F67">
        <w:rPr>
          <w:rFonts w:cstheme="minorHAnsi"/>
          <w:sz w:val="22"/>
          <w:szCs w:val="22"/>
        </w:rPr>
        <w:t>olled Pilot Study. Stroke, 2007,</w:t>
      </w:r>
      <w:r w:rsidRPr="00592D10">
        <w:rPr>
          <w:rFonts w:cstheme="minorHAnsi"/>
          <w:sz w:val="22"/>
          <w:szCs w:val="22"/>
        </w:rPr>
        <w:t xml:space="preserve"> 38(2): p. 349-54.</w:t>
      </w:r>
    </w:p>
  </w:endnote>
  <w:endnote w:id="4">
    <w:p w:rsidR="002E1C2B" w:rsidRPr="00592D10" w:rsidRDefault="002E1C2B">
      <w:pPr>
        <w:pStyle w:val="EndnoteText"/>
        <w:rPr>
          <w:rFonts w:cstheme="minorHAnsi"/>
          <w:sz w:val="22"/>
          <w:szCs w:val="22"/>
        </w:rPr>
      </w:pPr>
      <w:r w:rsidRPr="00592D10">
        <w:rPr>
          <w:rStyle w:val="EndnoteReference"/>
          <w:rFonts w:cstheme="minorHAnsi"/>
          <w:sz w:val="22"/>
          <w:szCs w:val="22"/>
        </w:rPr>
        <w:endnoteRef/>
      </w:r>
      <w:r w:rsidRPr="00865F67">
        <w:rPr>
          <w:rFonts w:cstheme="minorHAnsi"/>
          <w:sz w:val="22"/>
          <w:szCs w:val="22"/>
        </w:rPr>
        <w:t>Molteni F, Gasperini G, Cannaviello G, Guanziroli E. Exoskeleton and end-effector robots for upper and lower limbs rehabilitation: narrative review. PM R.</w:t>
      </w:r>
      <w:r w:rsidR="00865F67">
        <w:rPr>
          <w:rFonts w:cstheme="minorHAnsi"/>
          <w:sz w:val="22"/>
          <w:szCs w:val="22"/>
        </w:rPr>
        <w:t> 2018</w:t>
      </w:r>
      <w:r w:rsidR="00865F67">
        <w:rPr>
          <w:rFonts w:cstheme="minorHAnsi"/>
          <w:sz w:val="22"/>
          <w:szCs w:val="22"/>
          <w:lang w:val="mk-MK"/>
        </w:rPr>
        <w:t>,</w:t>
      </w:r>
      <w:r w:rsidRPr="00865F67">
        <w:rPr>
          <w:rFonts w:cstheme="minorHAnsi"/>
          <w:sz w:val="22"/>
          <w:szCs w:val="22"/>
        </w:rPr>
        <w:t>10:S174–88</w:t>
      </w:r>
    </w:p>
  </w:endnote>
  <w:endnote w:id="5">
    <w:p w:rsidR="002E1C2B" w:rsidRPr="00592D10" w:rsidRDefault="002E1C2B">
      <w:pPr>
        <w:pStyle w:val="EndnoteText"/>
        <w:rPr>
          <w:rFonts w:cstheme="minorHAnsi"/>
          <w:sz w:val="22"/>
          <w:szCs w:val="22"/>
        </w:rPr>
      </w:pPr>
      <w:r w:rsidRPr="00865F67">
        <w:endnoteRef/>
      </w:r>
      <w:r w:rsidRPr="00865F67">
        <w:rPr>
          <w:rFonts w:cstheme="minorHAnsi"/>
          <w:sz w:val="22"/>
          <w:szCs w:val="22"/>
        </w:rPr>
        <w:t>Morone G, Paolucci S, Cherubini A, De Angelis D, Venturiero V, Coiro P, et al. Robot-assisted gait training for stroke patients: current state of the art and perspectives of robotics. Neuropsychiatr Dis Treat.</w:t>
      </w:r>
      <w:r w:rsidR="00865F67">
        <w:rPr>
          <w:rFonts w:cstheme="minorHAnsi"/>
          <w:sz w:val="22"/>
          <w:szCs w:val="22"/>
        </w:rPr>
        <w:t> 2017</w:t>
      </w:r>
      <w:r w:rsidR="00865F67">
        <w:rPr>
          <w:rFonts w:cstheme="minorHAnsi"/>
          <w:sz w:val="22"/>
          <w:szCs w:val="22"/>
          <w:lang w:val="mk-MK"/>
        </w:rPr>
        <w:t>,</w:t>
      </w:r>
      <w:r w:rsidRPr="00865F67">
        <w:rPr>
          <w:rFonts w:cstheme="minorHAnsi"/>
          <w:sz w:val="22"/>
          <w:szCs w:val="22"/>
        </w:rPr>
        <w:t xml:space="preserve"> 13:1303–11</w:t>
      </w:r>
    </w:p>
  </w:endnote>
  <w:endnote w:id="6">
    <w:p w:rsidR="002E1C2B" w:rsidRPr="00592D10" w:rsidRDefault="002E1C2B">
      <w:pPr>
        <w:pStyle w:val="EndnoteText"/>
        <w:rPr>
          <w:rFonts w:cstheme="minorHAnsi"/>
          <w:sz w:val="22"/>
          <w:szCs w:val="22"/>
        </w:rPr>
      </w:pPr>
      <w:r w:rsidRPr="00865F67">
        <w:endnoteRef/>
      </w:r>
      <w:r w:rsidRPr="00865F67">
        <w:rPr>
          <w:rFonts w:cstheme="minorHAnsi"/>
          <w:sz w:val="22"/>
          <w:szCs w:val="22"/>
        </w:rPr>
        <w:t>Zhang X, Yue Z, Wang J. Robotics in Lower-Limb Rehabilitation after Stroke. Behav Neurol.</w:t>
      </w:r>
      <w:r w:rsidR="00865F67">
        <w:rPr>
          <w:rFonts w:cstheme="minorHAnsi"/>
          <w:sz w:val="22"/>
          <w:szCs w:val="22"/>
        </w:rPr>
        <w:t> </w:t>
      </w:r>
      <w:r w:rsidRPr="00865F67">
        <w:rPr>
          <w:rFonts w:cstheme="minorHAnsi"/>
          <w:sz w:val="22"/>
          <w:szCs w:val="22"/>
        </w:rPr>
        <w:t>2017:3731802.</w:t>
      </w:r>
    </w:p>
  </w:endnote>
  <w:endnote w:id="7">
    <w:p w:rsidR="00F92356" w:rsidRPr="00592D10" w:rsidRDefault="00F92356">
      <w:pPr>
        <w:pStyle w:val="EndnoteText"/>
        <w:rPr>
          <w:rFonts w:cstheme="minorHAnsi"/>
          <w:sz w:val="22"/>
          <w:szCs w:val="22"/>
        </w:rPr>
      </w:pPr>
      <w:r w:rsidRPr="00592D10">
        <w:rPr>
          <w:rStyle w:val="EndnoteReference"/>
          <w:rFonts w:cstheme="minorHAnsi"/>
          <w:sz w:val="22"/>
          <w:szCs w:val="22"/>
        </w:rPr>
        <w:endnoteRef/>
      </w:r>
      <w:r w:rsidRPr="00592D10">
        <w:rPr>
          <w:rFonts w:cstheme="minorHAnsi"/>
          <w:color w:val="222222"/>
          <w:sz w:val="22"/>
          <w:szCs w:val="22"/>
          <w:shd w:val="clear" w:color="auto" w:fill="FFFFFF"/>
        </w:rPr>
        <w:t>Matarić, M.; Tapus, A.; Winstein, C.; Eriksson, J. Socially assistive robotics for stroke and mild TBI rehabilitation. </w:t>
      </w:r>
      <w:r w:rsidRPr="00592D10">
        <w:rPr>
          <w:rStyle w:val="html-italic"/>
          <w:rFonts w:cstheme="minorHAnsi"/>
          <w:i/>
          <w:iCs/>
          <w:color w:val="222222"/>
          <w:sz w:val="22"/>
          <w:szCs w:val="22"/>
          <w:shd w:val="clear" w:color="auto" w:fill="FFFFFF"/>
        </w:rPr>
        <w:t>Stud. Health Technol. Inform.</w:t>
      </w:r>
      <w:r w:rsidRPr="00592D10">
        <w:rPr>
          <w:rFonts w:cstheme="minorHAnsi"/>
          <w:color w:val="222222"/>
          <w:sz w:val="22"/>
          <w:szCs w:val="22"/>
          <w:shd w:val="clear" w:color="auto" w:fill="FFFFFF"/>
        </w:rPr>
        <w:t> </w:t>
      </w:r>
      <w:r w:rsidRPr="00592D10">
        <w:rPr>
          <w:rFonts w:cstheme="minorHAnsi"/>
          <w:b/>
          <w:bCs/>
          <w:color w:val="222222"/>
          <w:sz w:val="22"/>
          <w:szCs w:val="22"/>
          <w:shd w:val="clear" w:color="auto" w:fill="FFFFFF"/>
        </w:rPr>
        <w:t>2009</w:t>
      </w:r>
      <w:r w:rsidRPr="00592D10">
        <w:rPr>
          <w:rFonts w:cstheme="minorHAnsi"/>
          <w:color w:val="222222"/>
          <w:sz w:val="22"/>
          <w:szCs w:val="22"/>
          <w:shd w:val="clear" w:color="auto" w:fill="FFFFFF"/>
        </w:rPr>
        <w:t>, </w:t>
      </w:r>
      <w:r w:rsidRPr="00592D10">
        <w:rPr>
          <w:rStyle w:val="html-italic"/>
          <w:rFonts w:cstheme="minorHAnsi"/>
          <w:i/>
          <w:iCs/>
          <w:color w:val="222222"/>
          <w:sz w:val="22"/>
          <w:szCs w:val="22"/>
          <w:shd w:val="clear" w:color="auto" w:fill="FFFFFF"/>
        </w:rPr>
        <w:t>145</w:t>
      </w:r>
      <w:r w:rsidRPr="00592D10">
        <w:rPr>
          <w:rFonts w:cstheme="minorHAnsi"/>
          <w:color w:val="222222"/>
          <w:sz w:val="22"/>
          <w:szCs w:val="22"/>
          <w:shd w:val="clear" w:color="auto" w:fill="FFFFFF"/>
        </w:rPr>
        <w:t>, 249–262.</w:t>
      </w:r>
    </w:p>
  </w:endnote>
  <w:endnote w:id="8">
    <w:p w:rsidR="0015683A" w:rsidRPr="00592D10" w:rsidRDefault="0015683A">
      <w:pPr>
        <w:pStyle w:val="EndnoteText"/>
        <w:rPr>
          <w:rFonts w:cstheme="minorHAnsi"/>
          <w:sz w:val="22"/>
          <w:szCs w:val="22"/>
        </w:rPr>
      </w:pPr>
      <w:r w:rsidRPr="00592D10">
        <w:rPr>
          <w:rStyle w:val="EndnoteReference"/>
          <w:rFonts w:cstheme="minorHAnsi"/>
          <w:sz w:val="22"/>
          <w:szCs w:val="22"/>
        </w:rPr>
        <w:endnoteRef/>
      </w:r>
      <w:r w:rsidRPr="00592D10">
        <w:rPr>
          <w:rFonts w:cstheme="minorHAnsi"/>
          <w:color w:val="222222"/>
          <w:sz w:val="22"/>
          <w:szCs w:val="22"/>
          <w:shd w:val="clear" w:color="auto" w:fill="FFFFFF"/>
        </w:rPr>
        <w:t>Sacco, K.; Cauda, F.; D’Agata, F.; Duca, S.; Zettin, M.; Virgilio, R.; Nascimbeni, A.; Belforte, G.; Eula, G.; Gastaldi, L.; et al. A combined robotic and cognitive training for locomotor rehabilitation: Evidences of cerebral functional reorganization in two chronic traumatic brain injured patients. </w:t>
      </w:r>
      <w:r w:rsidRPr="00592D10">
        <w:rPr>
          <w:rStyle w:val="html-italic"/>
          <w:rFonts w:cstheme="minorHAnsi"/>
          <w:i/>
          <w:iCs/>
          <w:color w:val="222222"/>
          <w:sz w:val="22"/>
          <w:szCs w:val="22"/>
          <w:shd w:val="clear" w:color="auto" w:fill="FFFFFF"/>
        </w:rPr>
        <w:t>Front. Hum. Neurosci.</w:t>
      </w:r>
      <w:r w:rsidRPr="00592D10">
        <w:rPr>
          <w:rFonts w:cstheme="minorHAnsi"/>
          <w:color w:val="222222"/>
          <w:sz w:val="22"/>
          <w:szCs w:val="22"/>
          <w:shd w:val="clear" w:color="auto" w:fill="FFFFFF"/>
        </w:rPr>
        <w:t> </w:t>
      </w:r>
      <w:r w:rsidRPr="00592D10">
        <w:rPr>
          <w:rFonts w:cstheme="minorHAnsi"/>
          <w:b/>
          <w:bCs/>
          <w:color w:val="222222"/>
          <w:sz w:val="22"/>
          <w:szCs w:val="22"/>
          <w:shd w:val="clear" w:color="auto" w:fill="FFFFFF"/>
        </w:rPr>
        <w:t>2011</w:t>
      </w:r>
      <w:r w:rsidRPr="00592D10">
        <w:rPr>
          <w:rFonts w:cstheme="minorHAnsi"/>
          <w:color w:val="222222"/>
          <w:sz w:val="22"/>
          <w:szCs w:val="22"/>
          <w:shd w:val="clear" w:color="auto" w:fill="FFFFFF"/>
        </w:rPr>
        <w:t>, </w:t>
      </w:r>
      <w:r w:rsidRPr="00592D10">
        <w:rPr>
          <w:rStyle w:val="html-italic"/>
          <w:rFonts w:cstheme="minorHAnsi"/>
          <w:i/>
          <w:iCs/>
          <w:color w:val="222222"/>
          <w:sz w:val="22"/>
          <w:szCs w:val="22"/>
          <w:shd w:val="clear" w:color="auto" w:fill="FFFFFF"/>
        </w:rPr>
        <w:t>5</w:t>
      </w:r>
      <w:r w:rsidRPr="00592D10">
        <w:rPr>
          <w:rFonts w:cstheme="minorHAnsi"/>
          <w:color w:val="222222"/>
          <w:sz w:val="22"/>
          <w:szCs w:val="22"/>
          <w:shd w:val="clear" w:color="auto" w:fill="FFFFFF"/>
        </w:rPr>
        <w:t>, 146</w:t>
      </w:r>
    </w:p>
  </w:endnote>
  <w:endnote w:id="9">
    <w:p w:rsidR="0015683A" w:rsidRPr="00592D10" w:rsidRDefault="0015683A">
      <w:pPr>
        <w:pStyle w:val="EndnoteText"/>
        <w:rPr>
          <w:rFonts w:cstheme="minorHAnsi"/>
          <w:sz w:val="22"/>
          <w:szCs w:val="22"/>
        </w:rPr>
      </w:pPr>
      <w:r w:rsidRPr="00592D10">
        <w:rPr>
          <w:rStyle w:val="EndnoteReference"/>
          <w:rFonts w:cstheme="minorHAnsi"/>
          <w:sz w:val="22"/>
          <w:szCs w:val="22"/>
        </w:rPr>
        <w:endnoteRef/>
      </w:r>
      <w:r w:rsidRPr="00592D10">
        <w:rPr>
          <w:rFonts w:cstheme="minorHAnsi"/>
          <w:color w:val="222222"/>
          <w:sz w:val="22"/>
          <w:szCs w:val="22"/>
          <w:shd w:val="clear" w:color="auto" w:fill="FFFFFF"/>
        </w:rPr>
        <w:t>Nolan, K.J.; Karunakaran, K.K.; Ehrenberg, N.; Kesten, A.G. Robotic Exoskeleton Gait Training for Inpatient Rehabilitation in a Young Adult with Traumatic Brain Injury. In Proceedings of the 2018 40th Annual International Conference of the IEEE Engineering in Medicine and Biology Society (EMBC), Honolulu, HI, USA, 17–21 July 2018; Volume 2018, pp. 2809–2812.</w:t>
      </w:r>
    </w:p>
  </w:endnote>
  <w:endnote w:id="10">
    <w:p w:rsidR="009F7F7F" w:rsidRPr="00592D10" w:rsidRDefault="009F7F7F">
      <w:pPr>
        <w:pStyle w:val="EndnoteText"/>
        <w:rPr>
          <w:rFonts w:cstheme="minorHAnsi"/>
          <w:sz w:val="22"/>
          <w:szCs w:val="22"/>
        </w:rPr>
      </w:pPr>
      <w:r w:rsidRPr="00592D10">
        <w:rPr>
          <w:rStyle w:val="EndnoteReference"/>
          <w:rFonts w:cstheme="minorHAnsi"/>
          <w:sz w:val="22"/>
          <w:szCs w:val="22"/>
        </w:rPr>
        <w:endnoteRef/>
      </w:r>
      <w:r w:rsidRPr="00592D10">
        <w:rPr>
          <w:rFonts w:cstheme="minorHAnsi"/>
          <w:sz w:val="22"/>
          <w:szCs w:val="22"/>
        </w:rPr>
        <w:t xml:space="preserve"> Alcobendas-Maestro, M., et al., Lokomat Robotic-Assisted Versus Overground Training Within 3 to 6 Months of Incomplete Spinal Cord Lesion: Randomized Controlled Trial. Neurorehabil Neural Repair, 2012. 26(9): p. 1058-1063</w:t>
      </w:r>
    </w:p>
  </w:endnote>
  <w:endnote w:id="11">
    <w:p w:rsidR="0015683A" w:rsidRPr="00592D10" w:rsidRDefault="0015683A">
      <w:pPr>
        <w:pStyle w:val="EndnoteText"/>
        <w:rPr>
          <w:rFonts w:cstheme="minorHAnsi"/>
          <w:sz w:val="22"/>
          <w:szCs w:val="22"/>
        </w:rPr>
      </w:pPr>
      <w:r w:rsidRPr="00592D10">
        <w:rPr>
          <w:rStyle w:val="EndnoteReference"/>
          <w:rFonts w:cstheme="minorHAnsi"/>
          <w:sz w:val="22"/>
          <w:szCs w:val="22"/>
        </w:rPr>
        <w:endnoteRef/>
      </w:r>
      <w:r w:rsidRPr="00592D10">
        <w:rPr>
          <w:rFonts w:cstheme="minorHAnsi"/>
          <w:color w:val="222222"/>
          <w:sz w:val="22"/>
          <w:szCs w:val="22"/>
          <w:shd w:val="clear" w:color="auto" w:fill="FFFFFF"/>
        </w:rPr>
        <w:t>Mekki, M.; Delgado, A.D.; Fry, A.; Putrino, D.; Huang, V. Robotic Rehabilitation and Spinal Cord Injury: A Narrative Review. </w:t>
      </w:r>
      <w:r w:rsidRPr="00592D10">
        <w:rPr>
          <w:rStyle w:val="html-italic"/>
          <w:rFonts w:cstheme="minorHAnsi"/>
          <w:i/>
          <w:iCs/>
          <w:color w:val="222222"/>
          <w:sz w:val="22"/>
          <w:szCs w:val="22"/>
          <w:shd w:val="clear" w:color="auto" w:fill="FFFFFF"/>
        </w:rPr>
        <w:t>Neurother</w:t>
      </w:r>
      <w:r w:rsidRPr="00592D10">
        <w:rPr>
          <w:rFonts w:cstheme="minorHAnsi"/>
          <w:color w:val="222222"/>
          <w:sz w:val="22"/>
          <w:szCs w:val="22"/>
          <w:shd w:val="clear" w:color="auto" w:fill="FFFFFF"/>
        </w:rPr>
        <w:t> </w:t>
      </w:r>
      <w:r w:rsidRPr="00592D10">
        <w:rPr>
          <w:rFonts w:cstheme="minorHAnsi"/>
          <w:b/>
          <w:bCs/>
          <w:color w:val="222222"/>
          <w:sz w:val="22"/>
          <w:szCs w:val="22"/>
          <w:shd w:val="clear" w:color="auto" w:fill="FFFFFF"/>
        </w:rPr>
        <w:t>2018</w:t>
      </w:r>
      <w:r w:rsidRPr="00592D10">
        <w:rPr>
          <w:rFonts w:cstheme="minorHAnsi"/>
          <w:color w:val="222222"/>
          <w:sz w:val="22"/>
          <w:szCs w:val="22"/>
          <w:shd w:val="clear" w:color="auto" w:fill="FFFFFF"/>
        </w:rPr>
        <w:t>, </w:t>
      </w:r>
      <w:r w:rsidRPr="00592D10">
        <w:rPr>
          <w:rStyle w:val="html-italic"/>
          <w:rFonts w:cstheme="minorHAnsi"/>
          <w:i/>
          <w:iCs/>
          <w:color w:val="222222"/>
          <w:sz w:val="22"/>
          <w:szCs w:val="22"/>
          <w:shd w:val="clear" w:color="auto" w:fill="FFFFFF"/>
        </w:rPr>
        <w:t>15</w:t>
      </w:r>
      <w:r w:rsidRPr="00592D10">
        <w:rPr>
          <w:rFonts w:cstheme="minorHAnsi"/>
          <w:color w:val="222222"/>
          <w:sz w:val="22"/>
          <w:szCs w:val="22"/>
          <w:shd w:val="clear" w:color="auto" w:fill="FFFFFF"/>
        </w:rPr>
        <w:t>, 604–617.</w:t>
      </w:r>
    </w:p>
  </w:endnote>
  <w:endnote w:id="12">
    <w:p w:rsidR="0015683A" w:rsidRPr="00592D10" w:rsidRDefault="0015683A">
      <w:pPr>
        <w:pStyle w:val="EndnoteText"/>
        <w:rPr>
          <w:rFonts w:cstheme="minorHAnsi"/>
          <w:sz w:val="22"/>
          <w:szCs w:val="22"/>
        </w:rPr>
      </w:pPr>
      <w:r w:rsidRPr="00592D10">
        <w:rPr>
          <w:rStyle w:val="EndnoteReference"/>
          <w:rFonts w:cstheme="minorHAnsi"/>
          <w:sz w:val="22"/>
          <w:szCs w:val="22"/>
        </w:rPr>
        <w:endnoteRef/>
      </w:r>
      <w:r w:rsidRPr="00592D10">
        <w:rPr>
          <w:rFonts w:cstheme="minorHAnsi"/>
          <w:color w:val="222222"/>
          <w:sz w:val="22"/>
          <w:szCs w:val="22"/>
          <w:shd w:val="clear" w:color="auto" w:fill="FFFFFF"/>
        </w:rPr>
        <w:t>Mehrholz, J.; A Harvey, L.; Thomas, S.; Elsner, B. Is body-weight-supported treadmill training or robotic-assisted gait training superior to overground gait training and other forms of physiotherapy in people with spinal cord injury? A systematic review. </w:t>
      </w:r>
      <w:r w:rsidRPr="00592D10">
        <w:rPr>
          <w:rStyle w:val="html-italic"/>
          <w:rFonts w:cstheme="minorHAnsi"/>
          <w:i/>
          <w:iCs/>
          <w:color w:val="222222"/>
          <w:sz w:val="22"/>
          <w:szCs w:val="22"/>
          <w:shd w:val="clear" w:color="auto" w:fill="FFFFFF"/>
        </w:rPr>
        <w:t>Spinal Cord</w:t>
      </w:r>
      <w:r w:rsidRPr="00592D10">
        <w:rPr>
          <w:rFonts w:cstheme="minorHAnsi"/>
          <w:color w:val="222222"/>
          <w:sz w:val="22"/>
          <w:szCs w:val="22"/>
          <w:shd w:val="clear" w:color="auto" w:fill="FFFFFF"/>
        </w:rPr>
        <w:t> </w:t>
      </w:r>
      <w:r w:rsidRPr="00592D10">
        <w:rPr>
          <w:rFonts w:cstheme="minorHAnsi"/>
          <w:b/>
          <w:bCs/>
          <w:color w:val="222222"/>
          <w:sz w:val="22"/>
          <w:szCs w:val="22"/>
          <w:shd w:val="clear" w:color="auto" w:fill="FFFFFF"/>
        </w:rPr>
        <w:t>2017</w:t>
      </w:r>
      <w:r w:rsidRPr="00592D10">
        <w:rPr>
          <w:rFonts w:cstheme="minorHAnsi"/>
          <w:color w:val="222222"/>
          <w:sz w:val="22"/>
          <w:szCs w:val="22"/>
          <w:shd w:val="clear" w:color="auto" w:fill="FFFFFF"/>
        </w:rPr>
        <w:t>, </w:t>
      </w:r>
      <w:r w:rsidRPr="00592D10">
        <w:rPr>
          <w:rStyle w:val="html-italic"/>
          <w:rFonts w:cstheme="minorHAnsi"/>
          <w:i/>
          <w:iCs/>
          <w:color w:val="222222"/>
          <w:sz w:val="22"/>
          <w:szCs w:val="22"/>
          <w:shd w:val="clear" w:color="auto" w:fill="FFFFFF"/>
        </w:rPr>
        <w:t>55</w:t>
      </w:r>
      <w:r w:rsidRPr="00592D10">
        <w:rPr>
          <w:rFonts w:cstheme="minorHAnsi"/>
          <w:color w:val="222222"/>
          <w:sz w:val="22"/>
          <w:szCs w:val="22"/>
          <w:shd w:val="clear" w:color="auto" w:fill="FFFFFF"/>
        </w:rPr>
        <w:t>, 722–729.</w:t>
      </w:r>
    </w:p>
  </w:endnote>
  <w:endnote w:id="13">
    <w:p w:rsidR="0015683A" w:rsidRPr="00592D10" w:rsidRDefault="0015683A">
      <w:pPr>
        <w:pStyle w:val="EndnoteText"/>
        <w:rPr>
          <w:rFonts w:cstheme="minorHAnsi"/>
          <w:sz w:val="22"/>
          <w:szCs w:val="22"/>
        </w:rPr>
      </w:pPr>
      <w:r w:rsidRPr="00592D10">
        <w:rPr>
          <w:rStyle w:val="EndnoteReference"/>
          <w:rFonts w:cstheme="minorHAnsi"/>
          <w:sz w:val="22"/>
          <w:szCs w:val="22"/>
        </w:rPr>
        <w:endnoteRef/>
      </w:r>
      <w:r w:rsidRPr="00592D10">
        <w:rPr>
          <w:rFonts w:cstheme="minorHAnsi"/>
          <w:color w:val="222222"/>
          <w:sz w:val="22"/>
          <w:szCs w:val="22"/>
          <w:shd w:val="clear" w:color="auto" w:fill="FFFFFF"/>
        </w:rPr>
        <w:t>Swinnen, E.; Duerinck, S.; Baeyens, J.-P.; Meeusen, R.; Kerckhofs, E. Effectiveness of robot-assisted gait training in persons with spinal cord injury: A systematic review. </w:t>
      </w:r>
      <w:r w:rsidRPr="00592D10">
        <w:rPr>
          <w:rStyle w:val="html-italic"/>
          <w:rFonts w:cstheme="minorHAnsi"/>
          <w:i/>
          <w:iCs/>
          <w:color w:val="222222"/>
          <w:sz w:val="22"/>
          <w:szCs w:val="22"/>
          <w:shd w:val="clear" w:color="auto" w:fill="FFFFFF"/>
        </w:rPr>
        <w:t>J. Rehabil. Med.</w:t>
      </w:r>
      <w:r w:rsidRPr="00592D10">
        <w:rPr>
          <w:rFonts w:cstheme="minorHAnsi"/>
          <w:color w:val="222222"/>
          <w:sz w:val="22"/>
          <w:szCs w:val="22"/>
          <w:shd w:val="clear" w:color="auto" w:fill="FFFFFF"/>
        </w:rPr>
        <w:t> </w:t>
      </w:r>
      <w:r w:rsidRPr="00592D10">
        <w:rPr>
          <w:rFonts w:cstheme="minorHAnsi"/>
          <w:b/>
          <w:bCs/>
          <w:color w:val="222222"/>
          <w:sz w:val="22"/>
          <w:szCs w:val="22"/>
          <w:shd w:val="clear" w:color="auto" w:fill="FFFFFF"/>
        </w:rPr>
        <w:t>2010</w:t>
      </w:r>
      <w:r w:rsidRPr="00592D10">
        <w:rPr>
          <w:rFonts w:cstheme="minorHAnsi"/>
          <w:color w:val="222222"/>
          <w:sz w:val="22"/>
          <w:szCs w:val="22"/>
          <w:shd w:val="clear" w:color="auto" w:fill="FFFFFF"/>
        </w:rPr>
        <w:t>, </w:t>
      </w:r>
      <w:r w:rsidRPr="00592D10">
        <w:rPr>
          <w:rStyle w:val="html-italic"/>
          <w:rFonts w:cstheme="minorHAnsi"/>
          <w:i/>
          <w:iCs/>
          <w:color w:val="222222"/>
          <w:sz w:val="22"/>
          <w:szCs w:val="22"/>
          <w:shd w:val="clear" w:color="auto" w:fill="FFFFFF"/>
        </w:rPr>
        <w:t>42</w:t>
      </w:r>
      <w:r w:rsidRPr="00592D10">
        <w:rPr>
          <w:rFonts w:cstheme="minorHAnsi"/>
          <w:color w:val="222222"/>
          <w:sz w:val="22"/>
          <w:szCs w:val="22"/>
          <w:shd w:val="clear" w:color="auto" w:fill="FFFFFF"/>
        </w:rPr>
        <w:t>, 520–526</w:t>
      </w:r>
    </w:p>
  </w:endnote>
  <w:endnote w:id="14">
    <w:p w:rsidR="0015683A" w:rsidRPr="00592D10" w:rsidRDefault="0015683A">
      <w:pPr>
        <w:pStyle w:val="EndnoteText"/>
        <w:rPr>
          <w:rFonts w:cstheme="minorHAnsi"/>
          <w:sz w:val="22"/>
          <w:szCs w:val="22"/>
        </w:rPr>
      </w:pPr>
      <w:r w:rsidRPr="00592D10">
        <w:rPr>
          <w:rStyle w:val="EndnoteReference"/>
          <w:rFonts w:cstheme="minorHAnsi"/>
          <w:sz w:val="22"/>
          <w:szCs w:val="22"/>
        </w:rPr>
        <w:endnoteRef/>
      </w:r>
      <w:r w:rsidRPr="00592D10">
        <w:rPr>
          <w:rFonts w:cstheme="minorHAnsi"/>
          <w:color w:val="222222"/>
          <w:sz w:val="22"/>
          <w:szCs w:val="22"/>
          <w:shd w:val="clear" w:color="auto" w:fill="FFFFFF"/>
        </w:rPr>
        <w:t>Athanasiou, A.; Arfaras, G.; Pandria, N.; Xygonakis, I.; Foroglou, N.; Astaras, A.; Bamidis, P.D. Wireless Brain-Robot Interface: User Perception and Performance Assessment of Spinal Cord Injury Patients. </w:t>
      </w:r>
      <w:r w:rsidRPr="00592D10">
        <w:rPr>
          <w:rStyle w:val="html-italic"/>
          <w:rFonts w:cstheme="minorHAnsi"/>
          <w:i/>
          <w:iCs/>
          <w:color w:val="222222"/>
          <w:sz w:val="22"/>
          <w:szCs w:val="22"/>
          <w:shd w:val="clear" w:color="auto" w:fill="FFFFFF"/>
        </w:rPr>
        <w:t>Wirel. Commun. Mob. Comput.</w:t>
      </w:r>
      <w:r w:rsidRPr="00592D10">
        <w:rPr>
          <w:rFonts w:cstheme="minorHAnsi"/>
          <w:color w:val="222222"/>
          <w:sz w:val="22"/>
          <w:szCs w:val="22"/>
          <w:shd w:val="clear" w:color="auto" w:fill="FFFFFF"/>
        </w:rPr>
        <w:t> </w:t>
      </w:r>
      <w:r w:rsidRPr="00592D10">
        <w:rPr>
          <w:rFonts w:cstheme="minorHAnsi"/>
          <w:b/>
          <w:bCs/>
          <w:color w:val="222222"/>
          <w:sz w:val="22"/>
          <w:szCs w:val="22"/>
          <w:shd w:val="clear" w:color="auto" w:fill="FFFFFF"/>
        </w:rPr>
        <w:t>2017</w:t>
      </w:r>
      <w:r w:rsidRPr="00592D10">
        <w:rPr>
          <w:rFonts w:cstheme="minorHAnsi"/>
          <w:color w:val="222222"/>
          <w:sz w:val="22"/>
          <w:szCs w:val="22"/>
          <w:shd w:val="clear" w:color="auto" w:fill="FFFFFF"/>
        </w:rPr>
        <w:t>, </w:t>
      </w:r>
      <w:r w:rsidRPr="00592D10">
        <w:rPr>
          <w:rStyle w:val="html-italic"/>
          <w:rFonts w:cstheme="minorHAnsi"/>
          <w:i/>
          <w:iCs/>
          <w:color w:val="222222"/>
          <w:sz w:val="22"/>
          <w:szCs w:val="22"/>
          <w:shd w:val="clear" w:color="auto" w:fill="FFFFFF"/>
        </w:rPr>
        <w:t>2017</w:t>
      </w:r>
      <w:r w:rsidRPr="00592D10">
        <w:rPr>
          <w:rFonts w:cstheme="minorHAnsi"/>
          <w:color w:val="222222"/>
          <w:sz w:val="22"/>
          <w:szCs w:val="22"/>
          <w:shd w:val="clear" w:color="auto" w:fill="FFFFFF"/>
        </w:rPr>
        <w:t>, 1–16</w:t>
      </w:r>
    </w:p>
  </w:endnote>
  <w:endnote w:id="15">
    <w:p w:rsidR="0015683A" w:rsidRPr="00592D10" w:rsidRDefault="0015683A">
      <w:pPr>
        <w:pStyle w:val="EndnoteText"/>
        <w:rPr>
          <w:rFonts w:cstheme="minorHAnsi"/>
          <w:sz w:val="22"/>
          <w:szCs w:val="22"/>
        </w:rPr>
      </w:pPr>
      <w:r w:rsidRPr="00592D10">
        <w:rPr>
          <w:rStyle w:val="EndnoteReference"/>
          <w:rFonts w:cstheme="minorHAnsi"/>
          <w:sz w:val="22"/>
          <w:szCs w:val="22"/>
        </w:rPr>
        <w:endnoteRef/>
      </w:r>
      <w:r w:rsidRPr="00592D10">
        <w:rPr>
          <w:rFonts w:cstheme="minorHAnsi"/>
          <w:color w:val="222222"/>
          <w:sz w:val="22"/>
          <w:szCs w:val="22"/>
          <w:shd w:val="clear" w:color="auto" w:fill="FFFFFF"/>
        </w:rPr>
        <w:t>Donati, A.R.C.; Shokur, S.; Morya, E.; Campos, D.S.F.; Moioli, R.C.; Gitti, C.M.; Augusto, P.B.; Tripodi, S.; Pires, C.G.; Pereira, G.A.; et al. Long-Term Training with a Brain-Machine Interface-Based Gait Protocol Induces Partial Neurological Recovery in Paraplegic Patients. </w:t>
      </w:r>
      <w:r w:rsidRPr="00592D10">
        <w:rPr>
          <w:rStyle w:val="html-italic"/>
          <w:rFonts w:cstheme="minorHAnsi"/>
          <w:i/>
          <w:iCs/>
          <w:color w:val="222222"/>
          <w:sz w:val="22"/>
          <w:szCs w:val="22"/>
          <w:shd w:val="clear" w:color="auto" w:fill="FFFFFF"/>
        </w:rPr>
        <w:t>Sci. Rep.</w:t>
      </w:r>
      <w:r w:rsidRPr="00592D10">
        <w:rPr>
          <w:rFonts w:cstheme="minorHAnsi"/>
          <w:color w:val="222222"/>
          <w:sz w:val="22"/>
          <w:szCs w:val="22"/>
          <w:shd w:val="clear" w:color="auto" w:fill="FFFFFF"/>
        </w:rPr>
        <w:t> </w:t>
      </w:r>
      <w:r w:rsidRPr="00592D10">
        <w:rPr>
          <w:rFonts w:cstheme="minorHAnsi"/>
          <w:b/>
          <w:bCs/>
          <w:color w:val="222222"/>
          <w:sz w:val="22"/>
          <w:szCs w:val="22"/>
          <w:shd w:val="clear" w:color="auto" w:fill="FFFFFF"/>
        </w:rPr>
        <w:t>2016</w:t>
      </w:r>
      <w:r w:rsidRPr="00592D10">
        <w:rPr>
          <w:rFonts w:cstheme="minorHAnsi"/>
          <w:color w:val="222222"/>
          <w:sz w:val="22"/>
          <w:szCs w:val="22"/>
          <w:shd w:val="clear" w:color="auto" w:fill="FFFFFF"/>
        </w:rPr>
        <w:t>, </w:t>
      </w:r>
      <w:r w:rsidRPr="00592D10">
        <w:rPr>
          <w:rStyle w:val="html-italic"/>
          <w:rFonts w:cstheme="minorHAnsi"/>
          <w:i/>
          <w:iCs/>
          <w:color w:val="222222"/>
          <w:sz w:val="22"/>
          <w:szCs w:val="22"/>
          <w:shd w:val="clear" w:color="auto" w:fill="FFFFFF"/>
        </w:rPr>
        <w:t>6</w:t>
      </w:r>
      <w:r w:rsidRPr="00592D10">
        <w:rPr>
          <w:rFonts w:cstheme="minorHAnsi"/>
          <w:color w:val="222222"/>
          <w:sz w:val="22"/>
          <w:szCs w:val="22"/>
          <w:shd w:val="clear" w:color="auto" w:fill="FFFFFF"/>
        </w:rPr>
        <w:t>, 30383</w:t>
      </w:r>
    </w:p>
  </w:endnote>
  <w:endnote w:id="16">
    <w:p w:rsidR="00B97105" w:rsidRPr="00592D10" w:rsidRDefault="00B97105">
      <w:pPr>
        <w:pStyle w:val="EndnoteText"/>
        <w:rPr>
          <w:rFonts w:cstheme="minorHAnsi"/>
          <w:sz w:val="22"/>
          <w:szCs w:val="22"/>
        </w:rPr>
      </w:pPr>
      <w:r w:rsidRPr="00592D10">
        <w:rPr>
          <w:rStyle w:val="EndnoteReference"/>
          <w:rFonts w:cstheme="minorHAnsi"/>
          <w:sz w:val="22"/>
          <w:szCs w:val="22"/>
        </w:rPr>
        <w:endnoteRef/>
      </w:r>
      <w:r w:rsidRPr="00592D10">
        <w:rPr>
          <w:rFonts w:cstheme="minorHAnsi"/>
          <w:sz w:val="22"/>
          <w:szCs w:val="22"/>
        </w:rPr>
        <w:t>Straudi, S., et al., The Effects of Robot-Assisted Gait Training in Progressive Multiple Sclerosis: A Randomized Controlled Trial. MultScler, 2015. 22(3): p. 373-384.</w:t>
      </w:r>
    </w:p>
  </w:endnote>
  <w:endnote w:id="17">
    <w:p w:rsidR="009F7F7F" w:rsidRPr="00592D10" w:rsidRDefault="009F7F7F">
      <w:pPr>
        <w:pStyle w:val="EndnoteText"/>
        <w:rPr>
          <w:rFonts w:cstheme="minorHAnsi"/>
          <w:sz w:val="22"/>
          <w:szCs w:val="22"/>
        </w:rPr>
      </w:pPr>
      <w:r w:rsidRPr="00592D10">
        <w:rPr>
          <w:rStyle w:val="EndnoteReference"/>
          <w:rFonts w:cstheme="minorHAnsi"/>
          <w:sz w:val="22"/>
          <w:szCs w:val="22"/>
        </w:rPr>
        <w:endnoteRef/>
      </w:r>
      <w:r w:rsidRPr="00592D10">
        <w:rPr>
          <w:rFonts w:cstheme="minorHAnsi"/>
          <w:sz w:val="22"/>
          <w:szCs w:val="22"/>
        </w:rPr>
        <w:t xml:space="preserve"> Schwartz, I., et al., Robot-assisted gait training in multiple sclerosis patients: a randomized trial. MultScler, 2012. 18(6): p. 881-90</w:t>
      </w:r>
    </w:p>
  </w:endnote>
  <w:endnote w:id="18">
    <w:p w:rsidR="00824A46" w:rsidRPr="00592D10" w:rsidRDefault="00824A46">
      <w:pPr>
        <w:pStyle w:val="EndnoteText"/>
        <w:rPr>
          <w:rFonts w:cstheme="minorHAnsi"/>
          <w:sz w:val="22"/>
          <w:szCs w:val="22"/>
        </w:rPr>
      </w:pPr>
      <w:r w:rsidRPr="00592D10">
        <w:rPr>
          <w:rStyle w:val="EndnoteReference"/>
          <w:rFonts w:cstheme="minorHAnsi"/>
          <w:sz w:val="22"/>
          <w:szCs w:val="22"/>
        </w:rPr>
        <w:endnoteRef/>
      </w:r>
      <w:r w:rsidRPr="00592D10">
        <w:rPr>
          <w:rFonts w:cstheme="minorHAnsi"/>
          <w:color w:val="222222"/>
          <w:sz w:val="22"/>
          <w:szCs w:val="22"/>
          <w:shd w:val="clear" w:color="auto" w:fill="FFFFFF"/>
        </w:rPr>
        <w:t>Mahmood, M.N.; Peeters, L.H.C.; Paalman, M.; Verkerke, G.J.; Kingma, I.; Van Dieën, J.H. Development and evaluation of a passive trunk support system for Duchenne muscular dystrophy patients. </w:t>
      </w:r>
      <w:r w:rsidRPr="00592D10">
        <w:rPr>
          <w:rStyle w:val="html-italic"/>
          <w:rFonts w:cstheme="minorHAnsi"/>
          <w:i/>
          <w:iCs/>
          <w:color w:val="222222"/>
          <w:sz w:val="22"/>
          <w:szCs w:val="22"/>
          <w:shd w:val="clear" w:color="auto" w:fill="FFFFFF"/>
        </w:rPr>
        <w:t>J. Neuroeng. Rehabil.</w:t>
      </w:r>
      <w:r w:rsidRPr="00592D10">
        <w:rPr>
          <w:rFonts w:cstheme="minorHAnsi"/>
          <w:color w:val="222222"/>
          <w:sz w:val="22"/>
          <w:szCs w:val="22"/>
          <w:shd w:val="clear" w:color="auto" w:fill="FFFFFF"/>
        </w:rPr>
        <w:t> </w:t>
      </w:r>
      <w:r w:rsidRPr="00592D10">
        <w:rPr>
          <w:rFonts w:cstheme="minorHAnsi"/>
          <w:b/>
          <w:bCs/>
          <w:color w:val="222222"/>
          <w:sz w:val="22"/>
          <w:szCs w:val="22"/>
          <w:shd w:val="clear" w:color="auto" w:fill="FFFFFF"/>
        </w:rPr>
        <w:t>2018</w:t>
      </w:r>
      <w:r w:rsidRPr="00592D10">
        <w:rPr>
          <w:rFonts w:cstheme="minorHAnsi"/>
          <w:color w:val="222222"/>
          <w:sz w:val="22"/>
          <w:szCs w:val="22"/>
          <w:shd w:val="clear" w:color="auto" w:fill="FFFFFF"/>
        </w:rPr>
        <w:t>, </w:t>
      </w:r>
      <w:r w:rsidRPr="00592D10">
        <w:rPr>
          <w:rStyle w:val="html-italic"/>
          <w:rFonts w:cstheme="minorHAnsi"/>
          <w:i/>
          <w:iCs/>
          <w:color w:val="222222"/>
          <w:sz w:val="22"/>
          <w:szCs w:val="22"/>
          <w:shd w:val="clear" w:color="auto" w:fill="FFFFFF"/>
        </w:rPr>
        <w:t>15</w:t>
      </w:r>
      <w:r w:rsidRPr="00592D10">
        <w:rPr>
          <w:rFonts w:cstheme="minorHAnsi"/>
          <w:color w:val="222222"/>
          <w:sz w:val="22"/>
          <w:szCs w:val="22"/>
          <w:shd w:val="clear" w:color="auto" w:fill="FFFFFF"/>
        </w:rPr>
        <w:t>, 22</w:t>
      </w:r>
    </w:p>
  </w:endnote>
  <w:endnote w:id="19">
    <w:p w:rsidR="002E1C2B" w:rsidRPr="00592D10" w:rsidRDefault="002E1C2B">
      <w:pPr>
        <w:pStyle w:val="EndnoteText"/>
        <w:rPr>
          <w:rFonts w:cstheme="minorHAnsi"/>
          <w:sz w:val="22"/>
          <w:szCs w:val="22"/>
        </w:rPr>
      </w:pPr>
      <w:r w:rsidRPr="00592D10">
        <w:rPr>
          <w:rStyle w:val="EndnoteReference"/>
          <w:rFonts w:cstheme="minorHAnsi"/>
          <w:sz w:val="22"/>
          <w:szCs w:val="22"/>
        </w:rPr>
        <w:endnoteRef/>
      </w:r>
      <w:r w:rsidRPr="00592D10">
        <w:rPr>
          <w:rFonts w:cstheme="minorHAnsi"/>
          <w:color w:val="222222"/>
          <w:sz w:val="22"/>
          <w:szCs w:val="22"/>
          <w:shd w:val="clear" w:color="auto" w:fill="FFFFFF"/>
        </w:rPr>
        <w:t>Kleih, S.; Nijboer, F.; Halder, S.; Kübler, A. Motivation modulates the P300 amplitude during brain–computer interface use. </w:t>
      </w:r>
      <w:r w:rsidRPr="00592D10">
        <w:rPr>
          <w:rStyle w:val="html-italic"/>
          <w:rFonts w:cstheme="minorHAnsi"/>
          <w:i/>
          <w:iCs/>
          <w:color w:val="222222"/>
          <w:sz w:val="22"/>
          <w:szCs w:val="22"/>
          <w:shd w:val="clear" w:color="auto" w:fill="FFFFFF"/>
        </w:rPr>
        <w:t>Clin. Neurophysiol.</w:t>
      </w:r>
      <w:r w:rsidRPr="00592D10">
        <w:rPr>
          <w:rFonts w:cstheme="minorHAnsi"/>
          <w:color w:val="222222"/>
          <w:sz w:val="22"/>
          <w:szCs w:val="22"/>
          <w:shd w:val="clear" w:color="auto" w:fill="FFFFFF"/>
        </w:rPr>
        <w:t> </w:t>
      </w:r>
      <w:r w:rsidRPr="00592D10">
        <w:rPr>
          <w:rFonts w:cstheme="minorHAnsi"/>
          <w:b/>
          <w:bCs/>
          <w:color w:val="222222"/>
          <w:sz w:val="22"/>
          <w:szCs w:val="22"/>
          <w:shd w:val="clear" w:color="auto" w:fill="FFFFFF"/>
        </w:rPr>
        <w:t>2010</w:t>
      </w:r>
      <w:r w:rsidRPr="00592D10">
        <w:rPr>
          <w:rFonts w:cstheme="minorHAnsi"/>
          <w:color w:val="222222"/>
          <w:sz w:val="22"/>
          <w:szCs w:val="22"/>
          <w:shd w:val="clear" w:color="auto" w:fill="FFFFFF"/>
        </w:rPr>
        <w:t>, </w:t>
      </w:r>
      <w:r w:rsidRPr="00592D10">
        <w:rPr>
          <w:rStyle w:val="html-italic"/>
          <w:rFonts w:cstheme="minorHAnsi"/>
          <w:i/>
          <w:iCs/>
          <w:color w:val="222222"/>
          <w:sz w:val="22"/>
          <w:szCs w:val="22"/>
          <w:shd w:val="clear" w:color="auto" w:fill="FFFFFF"/>
        </w:rPr>
        <w:t>121</w:t>
      </w:r>
      <w:r w:rsidRPr="00592D10">
        <w:rPr>
          <w:rFonts w:cstheme="minorHAnsi"/>
          <w:color w:val="222222"/>
          <w:sz w:val="22"/>
          <w:szCs w:val="22"/>
          <w:shd w:val="clear" w:color="auto" w:fill="FFFFFF"/>
        </w:rPr>
        <w:t>, 1023–1031.</w:t>
      </w:r>
    </w:p>
  </w:endnote>
  <w:endnote w:id="20">
    <w:p w:rsidR="002E1C2B" w:rsidRPr="00592D10" w:rsidRDefault="002E1C2B">
      <w:pPr>
        <w:pStyle w:val="EndnoteText"/>
        <w:rPr>
          <w:rFonts w:cstheme="minorHAnsi"/>
          <w:sz w:val="22"/>
          <w:szCs w:val="22"/>
        </w:rPr>
      </w:pPr>
      <w:r w:rsidRPr="00592D10">
        <w:rPr>
          <w:rStyle w:val="EndnoteReference"/>
          <w:rFonts w:cstheme="minorHAnsi"/>
          <w:sz w:val="22"/>
          <w:szCs w:val="22"/>
        </w:rPr>
        <w:endnoteRef/>
      </w:r>
      <w:r w:rsidRPr="00592D10">
        <w:rPr>
          <w:rFonts w:cstheme="minorHAnsi"/>
          <w:color w:val="222222"/>
          <w:sz w:val="22"/>
          <w:szCs w:val="22"/>
          <w:shd w:val="clear" w:color="auto" w:fill="FFFFFF"/>
        </w:rPr>
        <w:t>Ziemke, T.; Lowe, R.; Morse, A. Affective robotics modelling emotion and motivation. </w:t>
      </w:r>
      <w:r w:rsidRPr="00592D10">
        <w:rPr>
          <w:rStyle w:val="html-italic"/>
          <w:rFonts w:cstheme="minorHAnsi"/>
          <w:i/>
          <w:iCs/>
          <w:color w:val="222222"/>
          <w:sz w:val="22"/>
          <w:szCs w:val="22"/>
          <w:shd w:val="clear" w:color="auto" w:fill="FFFFFF"/>
        </w:rPr>
        <w:t>Connect. Sci.</w:t>
      </w:r>
      <w:r w:rsidRPr="00592D10">
        <w:rPr>
          <w:rFonts w:cstheme="minorHAnsi"/>
          <w:color w:val="222222"/>
          <w:sz w:val="22"/>
          <w:szCs w:val="22"/>
          <w:shd w:val="clear" w:color="auto" w:fill="FFFFFF"/>
        </w:rPr>
        <w:t> </w:t>
      </w:r>
      <w:r w:rsidRPr="00592D10">
        <w:rPr>
          <w:rFonts w:cstheme="minorHAnsi"/>
          <w:b/>
          <w:bCs/>
          <w:color w:val="222222"/>
          <w:sz w:val="22"/>
          <w:szCs w:val="22"/>
          <w:shd w:val="clear" w:color="auto" w:fill="FFFFFF"/>
        </w:rPr>
        <w:t>2010</w:t>
      </w:r>
      <w:r w:rsidRPr="00592D10">
        <w:rPr>
          <w:rFonts w:cstheme="minorHAnsi"/>
          <w:color w:val="222222"/>
          <w:sz w:val="22"/>
          <w:szCs w:val="22"/>
          <w:shd w:val="clear" w:color="auto" w:fill="FFFFFF"/>
        </w:rPr>
        <w:t>, </w:t>
      </w:r>
      <w:r w:rsidRPr="00592D10">
        <w:rPr>
          <w:rStyle w:val="html-italic"/>
          <w:rFonts w:cstheme="minorHAnsi"/>
          <w:i/>
          <w:iCs/>
          <w:color w:val="222222"/>
          <w:sz w:val="22"/>
          <w:szCs w:val="22"/>
          <w:shd w:val="clear" w:color="auto" w:fill="FFFFFF"/>
        </w:rPr>
        <w:t>22</w:t>
      </w:r>
      <w:r w:rsidRPr="00592D10">
        <w:rPr>
          <w:rFonts w:cstheme="minorHAnsi"/>
          <w:color w:val="222222"/>
          <w:sz w:val="22"/>
          <w:szCs w:val="22"/>
          <w:shd w:val="clear" w:color="auto" w:fill="FFFFFF"/>
        </w:rPr>
        <w:t>, 193–195</w:t>
      </w:r>
      <w:bookmarkStart w:id="0" w:name="_GoBack"/>
      <w:bookmarkEnd w:id="0"/>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2F2" w:rsidRDefault="00C412F2" w:rsidP="00F92356">
      <w:pPr>
        <w:spacing w:after="0" w:line="240" w:lineRule="auto"/>
      </w:pPr>
      <w:r>
        <w:separator/>
      </w:r>
    </w:p>
  </w:footnote>
  <w:footnote w:type="continuationSeparator" w:id="0">
    <w:p w:rsidR="00C412F2" w:rsidRDefault="00C412F2" w:rsidP="00F923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126A9"/>
    <w:multiLevelType w:val="hybridMultilevel"/>
    <w:tmpl w:val="CB7A8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14762B"/>
    <w:multiLevelType w:val="hybridMultilevel"/>
    <w:tmpl w:val="BC546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1"/>
    <w:footnote w:id="0"/>
  </w:footnotePr>
  <w:endnotePr>
    <w:numFmt w:val="decimal"/>
    <w:endnote w:id="-1"/>
    <w:endnote w:id="0"/>
  </w:endnotePr>
  <w:compat/>
  <w:rsids>
    <w:rsidRoot w:val="00380ABF"/>
    <w:rsid w:val="000C6562"/>
    <w:rsid w:val="000D14E4"/>
    <w:rsid w:val="000F5DDA"/>
    <w:rsid w:val="001465FE"/>
    <w:rsid w:val="0015683A"/>
    <w:rsid w:val="00181BD1"/>
    <w:rsid w:val="001E16AE"/>
    <w:rsid w:val="002954A8"/>
    <w:rsid w:val="002D1192"/>
    <w:rsid w:val="002E1C2B"/>
    <w:rsid w:val="002F7517"/>
    <w:rsid w:val="00380ABF"/>
    <w:rsid w:val="003E7DD9"/>
    <w:rsid w:val="003F0928"/>
    <w:rsid w:val="00430D73"/>
    <w:rsid w:val="00441008"/>
    <w:rsid w:val="00457CA1"/>
    <w:rsid w:val="00592D10"/>
    <w:rsid w:val="006369FD"/>
    <w:rsid w:val="00673566"/>
    <w:rsid w:val="00676761"/>
    <w:rsid w:val="0069600E"/>
    <w:rsid w:val="006D3023"/>
    <w:rsid w:val="006E0C9B"/>
    <w:rsid w:val="007227ED"/>
    <w:rsid w:val="0074375A"/>
    <w:rsid w:val="00745470"/>
    <w:rsid w:val="00750C30"/>
    <w:rsid w:val="00824A46"/>
    <w:rsid w:val="00865F67"/>
    <w:rsid w:val="008D424F"/>
    <w:rsid w:val="008F0D6A"/>
    <w:rsid w:val="009031EC"/>
    <w:rsid w:val="00911E38"/>
    <w:rsid w:val="009D4761"/>
    <w:rsid w:val="009F7F7F"/>
    <w:rsid w:val="00A32DC6"/>
    <w:rsid w:val="00A80F30"/>
    <w:rsid w:val="00A8224D"/>
    <w:rsid w:val="00AE1377"/>
    <w:rsid w:val="00B57E75"/>
    <w:rsid w:val="00B6144C"/>
    <w:rsid w:val="00B97105"/>
    <w:rsid w:val="00BB4A7C"/>
    <w:rsid w:val="00C412F2"/>
    <w:rsid w:val="00CE7C87"/>
    <w:rsid w:val="00D37670"/>
    <w:rsid w:val="00D5694C"/>
    <w:rsid w:val="00D635A3"/>
    <w:rsid w:val="00EB58EF"/>
    <w:rsid w:val="00EC5193"/>
    <w:rsid w:val="00EC525F"/>
    <w:rsid w:val="00EF1334"/>
    <w:rsid w:val="00F37565"/>
    <w:rsid w:val="00F55C7F"/>
    <w:rsid w:val="00F92356"/>
    <w:rsid w:val="00FA6A9F"/>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2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A7C"/>
    <w:pPr>
      <w:ind w:left="720"/>
      <w:contextualSpacing/>
    </w:pPr>
  </w:style>
  <w:style w:type="paragraph" w:styleId="EndnoteText">
    <w:name w:val="endnote text"/>
    <w:basedOn w:val="Normal"/>
    <w:link w:val="EndnoteTextChar"/>
    <w:uiPriority w:val="99"/>
    <w:semiHidden/>
    <w:unhideWhenUsed/>
    <w:rsid w:val="00F923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2356"/>
    <w:rPr>
      <w:sz w:val="20"/>
      <w:szCs w:val="20"/>
    </w:rPr>
  </w:style>
  <w:style w:type="character" w:styleId="EndnoteReference">
    <w:name w:val="endnote reference"/>
    <w:basedOn w:val="DefaultParagraphFont"/>
    <w:uiPriority w:val="99"/>
    <w:semiHidden/>
    <w:unhideWhenUsed/>
    <w:rsid w:val="00F92356"/>
    <w:rPr>
      <w:vertAlign w:val="superscript"/>
    </w:rPr>
  </w:style>
  <w:style w:type="character" w:customStyle="1" w:styleId="html-italic">
    <w:name w:val="html-italic"/>
    <w:basedOn w:val="DefaultParagraphFont"/>
    <w:rsid w:val="00F92356"/>
  </w:style>
  <w:style w:type="paragraph" w:styleId="BalloonText">
    <w:name w:val="Balloon Text"/>
    <w:basedOn w:val="Normal"/>
    <w:link w:val="BalloonTextChar"/>
    <w:uiPriority w:val="99"/>
    <w:semiHidden/>
    <w:unhideWhenUsed/>
    <w:rsid w:val="00D635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5A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9D056-1135-43DA-810D-9897BB453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dc:creator>
  <cp:lastModifiedBy>user</cp:lastModifiedBy>
  <cp:revision>2</cp:revision>
  <cp:lastPrinted>2024-01-20T15:07:00Z</cp:lastPrinted>
  <dcterms:created xsi:type="dcterms:W3CDTF">2024-05-23T06:32:00Z</dcterms:created>
  <dcterms:modified xsi:type="dcterms:W3CDTF">2024-05-23T06:32:00Z</dcterms:modified>
</cp:coreProperties>
</file>